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CF" w:rsidRDefault="004042CF" w:rsidP="0027398D">
      <w:pPr>
        <w:ind w:right="-283"/>
        <w:jc w:val="both"/>
        <w:rPr>
          <w:sz w:val="28"/>
          <w:szCs w:val="28"/>
        </w:rPr>
      </w:pPr>
      <w:bookmarkStart w:id="0" w:name="_GoBack"/>
      <w:bookmarkEnd w:id="0"/>
    </w:p>
    <w:p w:rsidR="004042CF" w:rsidRDefault="0027398D">
      <w:pPr>
        <w:pStyle w:val="ae"/>
        <w:ind w:right="-283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Уважаемы жители города Туапсе и Туапсинского района!</w:t>
      </w:r>
    </w:p>
    <w:p w:rsidR="004042CF" w:rsidRDefault="004042CF">
      <w:pPr>
        <w:ind w:left="5669" w:right="-283"/>
        <w:jc w:val="both"/>
        <w:rPr>
          <w:sz w:val="28"/>
          <w:szCs w:val="28"/>
        </w:rPr>
      </w:pPr>
    </w:p>
    <w:p w:rsidR="004042CF" w:rsidRDefault="004042CF">
      <w:pPr>
        <w:ind w:firstLine="709"/>
        <w:jc w:val="both"/>
        <w:rPr>
          <w:sz w:val="28"/>
          <w:szCs w:val="28"/>
        </w:rPr>
      </w:pPr>
    </w:p>
    <w:p w:rsidR="004042CF" w:rsidRDefault="0027398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оператор призывает граждан своевременно производить оплату за вывоз твердых коммунальных отходов.</w:t>
      </w:r>
    </w:p>
    <w:p w:rsidR="004042CF" w:rsidRDefault="004042CF">
      <w:pPr>
        <w:ind w:firstLine="709"/>
        <w:jc w:val="both"/>
        <w:rPr>
          <w:sz w:val="28"/>
          <w:szCs w:val="28"/>
        </w:rPr>
      </w:pPr>
    </w:p>
    <w:p w:rsidR="004042CF" w:rsidRDefault="0027398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введенным на территории Краснодарского края режимом карантина и перехода на дистанционный режим работы, Региональный оператор по обращению с твердыми коммунальными отходами — </w:t>
      </w:r>
      <w:bookmarkStart w:id="1" w:name="__DdeLink__32_687315116"/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Крайжилкомресурс</w:t>
      </w:r>
      <w:proofErr w:type="spellEnd"/>
      <w:r>
        <w:rPr>
          <w:sz w:val="28"/>
          <w:szCs w:val="28"/>
        </w:rPr>
        <w:t>»</w:t>
      </w:r>
      <w:bookmarkEnd w:id="1"/>
      <w:r>
        <w:rPr>
          <w:sz w:val="28"/>
          <w:szCs w:val="28"/>
        </w:rPr>
        <w:t xml:space="preserve"> (далее — </w:t>
      </w:r>
      <w:bookmarkStart w:id="2" w:name="__DdeLink__34_3967618088"/>
      <w:r>
        <w:rPr>
          <w:sz w:val="28"/>
          <w:szCs w:val="28"/>
        </w:rPr>
        <w:t>Региональный оператор</w:t>
      </w:r>
      <w:bookmarkEnd w:id="2"/>
      <w:r>
        <w:rPr>
          <w:sz w:val="28"/>
          <w:szCs w:val="28"/>
        </w:rPr>
        <w:t>) зафиксировал рост</w:t>
      </w:r>
      <w:r>
        <w:rPr>
          <w:sz w:val="28"/>
          <w:szCs w:val="28"/>
        </w:rPr>
        <w:t xml:space="preserve"> объема производимых собственниками отходов, фактически на треть.</w:t>
      </w:r>
      <w:proofErr w:type="gramEnd"/>
      <w:r>
        <w:rPr>
          <w:sz w:val="28"/>
          <w:szCs w:val="28"/>
        </w:rPr>
        <w:t xml:space="preserve"> При этом нахождение на самоизоляции большого количества граждан привело к массовому снижению платежеспособности населения. Главное, что необходимо понимать, даже в такой ситуации гражданам с</w:t>
      </w:r>
      <w:r>
        <w:rPr>
          <w:sz w:val="28"/>
          <w:szCs w:val="28"/>
        </w:rPr>
        <w:t>ледует вовремя производить оплату за оказанные коммунальные услуги. Задержка в оплате квитанций по вывозу отходов может привести к мусорному коллапсу.</w:t>
      </w:r>
    </w:p>
    <w:p w:rsidR="004042CF" w:rsidRDefault="0027398D">
      <w:pPr>
        <w:ind w:firstLine="709"/>
        <w:jc w:val="both"/>
      </w:pPr>
      <w:r>
        <w:rPr>
          <w:sz w:val="28"/>
          <w:szCs w:val="28"/>
        </w:rPr>
        <w:t xml:space="preserve">Несмотря на сложное положение в стране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борьбу с пандемией,  Региональный оператор продолжает вести деят</w:t>
      </w:r>
      <w:r>
        <w:rPr>
          <w:sz w:val="28"/>
          <w:szCs w:val="28"/>
        </w:rPr>
        <w:t>ельность по вывозу отходов в полном объе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е. На территории муниципального образования Туапсинск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ежесуточно курсирует 25 единиц спецтехники, в том числе 5 машин под крупногабаритные отходы. Объем вывозимого мусора в дни карантина превышает 115 тонн в</w:t>
      </w:r>
      <w:r>
        <w:rPr>
          <w:sz w:val="28"/>
          <w:szCs w:val="28"/>
        </w:rPr>
        <w:t xml:space="preserve"> сутки.</w:t>
      </w:r>
    </w:p>
    <w:p w:rsidR="004042CF" w:rsidRDefault="0027398D">
      <w:pPr>
        <w:ind w:firstLine="709"/>
        <w:jc w:val="both"/>
      </w:pPr>
      <w:r>
        <w:rPr>
          <w:sz w:val="28"/>
          <w:szCs w:val="28"/>
        </w:rPr>
        <w:t>Региональный оператор, обеспечива</w:t>
      </w:r>
      <w:r>
        <w:rPr>
          <w:sz w:val="28"/>
          <w:szCs w:val="28"/>
        </w:rPr>
        <w:t xml:space="preserve">ет </w:t>
      </w:r>
      <w:r>
        <w:rPr>
          <w:sz w:val="28"/>
          <w:szCs w:val="28"/>
        </w:rPr>
        <w:t>жизнедеятельность города Туапсе и Туапсинского района, проводит все стадии санитарной обработки в период пандемии. Спецтехника обрабатывается дезинфицирующими средствами, сотрудники Регионального оператора прошли</w:t>
      </w:r>
      <w:r>
        <w:rPr>
          <w:sz w:val="28"/>
          <w:szCs w:val="28"/>
        </w:rPr>
        <w:t xml:space="preserve"> инструктаж по способам ведения безопасной деятельности по вывозу отходов, все специалисты Регионального оператора обеспечены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редствами индивидуальной защиты.  </w:t>
      </w:r>
    </w:p>
    <w:p w:rsidR="004042CF" w:rsidRDefault="0027398D">
      <w:pPr>
        <w:ind w:firstLine="709"/>
        <w:jc w:val="both"/>
      </w:pPr>
      <w:r>
        <w:rPr>
          <w:sz w:val="28"/>
          <w:szCs w:val="28"/>
        </w:rPr>
        <w:t>Жители могут оплачивать вывоз отходов, даже в условиях всеобщей самоизоляции, через любые плат</w:t>
      </w:r>
      <w:r>
        <w:rPr>
          <w:sz w:val="28"/>
          <w:szCs w:val="28"/>
        </w:rPr>
        <w:t xml:space="preserve">ежные системы, в том </w:t>
      </w:r>
      <w:proofErr w:type="spellStart"/>
      <w:r>
        <w:rPr>
          <w:sz w:val="28"/>
          <w:szCs w:val="28"/>
        </w:rPr>
        <w:t>числ</w:t>
      </w:r>
      <w:proofErr w:type="spellEnd"/>
      <w:r>
        <w:rPr>
          <w:sz w:val="28"/>
          <w:szCs w:val="28"/>
        </w:rPr>
        <w:t xml:space="preserve"> через кассы муниципального унитарного предприятия «Единый информационный расчетный центр города Туапсе». В связи с возникновением слож</w:t>
      </w:r>
      <w:r>
        <w:rPr>
          <w:sz w:val="28"/>
          <w:szCs w:val="28"/>
        </w:rPr>
        <w:t>ностей с оплатой, Региональный оператор усилил работу дистанционных линий общения с населением.</w:t>
      </w:r>
    </w:p>
    <w:p w:rsidR="004042CF" w:rsidRDefault="0027398D">
      <w:pPr>
        <w:ind w:firstLine="709"/>
        <w:jc w:val="both"/>
      </w:pPr>
      <w:r>
        <w:rPr>
          <w:sz w:val="28"/>
          <w:szCs w:val="28"/>
        </w:rPr>
        <w:t>Жители города Туапсе и Туапсинского района за уточнением данных могут обратиться:</w:t>
      </w:r>
    </w:p>
    <w:p w:rsidR="004042CF" w:rsidRDefault="0027398D">
      <w:pPr>
        <w:ind w:firstLine="709"/>
        <w:jc w:val="both"/>
      </w:pPr>
      <w:r>
        <w:rPr>
          <w:sz w:val="28"/>
          <w:szCs w:val="28"/>
        </w:rPr>
        <w:t xml:space="preserve">- по телефону  на горячую линию 8 (800) 444-42-73, 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 xml:space="preserve"> (307, 309);                      8 (988) 888-14-38;</w:t>
      </w:r>
    </w:p>
    <w:p w:rsidR="004042CF" w:rsidRDefault="0027398D">
      <w:pPr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обратиться через официальный сайт компании </w:t>
      </w:r>
      <w:hyperlink r:id="rId5">
        <w:r>
          <w:rPr>
            <w:rStyle w:val="a7"/>
            <w:b w:val="0"/>
            <w:bCs w:val="0"/>
            <w:sz w:val="28"/>
            <w:szCs w:val="28"/>
          </w:rPr>
          <w:t>www.kgkr.ru</w:t>
        </w:r>
      </w:hyperlink>
      <w:hyperlink>
        <w:r>
          <w:rPr>
            <w:rStyle w:val="a7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в разделе «Обратная связь»;</w:t>
      </w:r>
    </w:p>
    <w:p w:rsidR="004042CF" w:rsidRDefault="0027398D">
      <w:pPr>
        <w:ind w:firstLine="709"/>
        <w:jc w:val="both"/>
      </w:pPr>
      <w:r>
        <w:rPr>
          <w:sz w:val="28"/>
          <w:szCs w:val="28"/>
        </w:rPr>
        <w:t>- либо направить обращение на электронный адрес: Tuapse.kgkr@mail.ru.</w:t>
      </w:r>
    </w:p>
    <w:p w:rsidR="004042CF" w:rsidRDefault="004042CF">
      <w:pPr>
        <w:jc w:val="both"/>
        <w:rPr>
          <w:sz w:val="28"/>
          <w:szCs w:val="28"/>
        </w:rPr>
      </w:pPr>
    </w:p>
    <w:p w:rsidR="004042CF" w:rsidRDefault="004042CF">
      <w:pPr>
        <w:pStyle w:val="ae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042CF" w:rsidRDefault="0027398D">
      <w:pPr>
        <w:pStyle w:val="ae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Управление ЖКХ и ТЭК администрации </w:t>
      </w:r>
    </w:p>
    <w:p w:rsidR="004042CF" w:rsidRDefault="0027398D">
      <w:pPr>
        <w:pStyle w:val="ae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042CF" w:rsidRDefault="0027398D">
      <w:pPr>
        <w:pStyle w:val="ae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Туапсинский район </w:t>
      </w:r>
    </w:p>
    <w:p w:rsidR="004042CF" w:rsidRDefault="004042CF">
      <w:pPr>
        <w:ind w:right="-1" w:firstLine="851"/>
      </w:pPr>
    </w:p>
    <w:sectPr w:rsidR="004042CF">
      <w:pgSz w:w="11906" w:h="16838"/>
      <w:pgMar w:top="851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CF"/>
    <w:rsid w:val="0027398D"/>
    <w:rsid w:val="00315621"/>
    <w:rsid w:val="0040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7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A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470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Гипертекстовая ссылка"/>
    <w:uiPriority w:val="99"/>
    <w:qFormat/>
    <w:rsid w:val="006F6944"/>
    <w:rPr>
      <w:b/>
      <w:bCs/>
      <w:color w:val="106BBE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6123B"/>
    <w:rPr>
      <w:color w:val="0000FF" w:themeColor="hyperlink"/>
      <w:u w:val="single"/>
    </w:rPr>
  </w:style>
  <w:style w:type="character" w:customStyle="1" w:styleId="a5">
    <w:name w:val="Символ нумерации"/>
    <w:qFormat/>
  </w:style>
  <w:style w:type="character" w:styleId="a6">
    <w:name w:val="Emphasis"/>
    <w:qFormat/>
    <w:rPr>
      <w:i/>
      <w:iCs/>
    </w:rPr>
  </w:style>
  <w:style w:type="character" w:customStyle="1" w:styleId="a7">
    <w:name w:val="Выделение жирным"/>
    <w:qFormat/>
    <w:rPr>
      <w:b/>
      <w:bCs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Balloon Text"/>
    <w:basedOn w:val="a"/>
    <w:uiPriority w:val="99"/>
    <w:semiHidden/>
    <w:unhideWhenUsed/>
    <w:qFormat/>
    <w:rsid w:val="00747079"/>
    <w:rPr>
      <w:rFonts w:ascii="Tahoma" w:hAnsi="Tahoma" w:cs="Tahoma"/>
      <w:sz w:val="16"/>
      <w:szCs w:val="16"/>
    </w:rPr>
  </w:style>
  <w:style w:type="paragraph" w:styleId="ae">
    <w:name w:val="No Spacing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7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A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470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Гипертекстовая ссылка"/>
    <w:uiPriority w:val="99"/>
    <w:qFormat/>
    <w:rsid w:val="006F6944"/>
    <w:rPr>
      <w:b/>
      <w:bCs/>
      <w:color w:val="106BBE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6123B"/>
    <w:rPr>
      <w:color w:val="0000FF" w:themeColor="hyperlink"/>
      <w:u w:val="single"/>
    </w:rPr>
  </w:style>
  <w:style w:type="character" w:customStyle="1" w:styleId="a5">
    <w:name w:val="Символ нумерации"/>
    <w:qFormat/>
  </w:style>
  <w:style w:type="character" w:styleId="a6">
    <w:name w:val="Emphasis"/>
    <w:qFormat/>
    <w:rPr>
      <w:i/>
      <w:iCs/>
    </w:rPr>
  </w:style>
  <w:style w:type="character" w:customStyle="1" w:styleId="a7">
    <w:name w:val="Выделение жирным"/>
    <w:qFormat/>
    <w:rPr>
      <w:b/>
      <w:bCs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Balloon Text"/>
    <w:basedOn w:val="a"/>
    <w:uiPriority w:val="99"/>
    <w:semiHidden/>
    <w:unhideWhenUsed/>
    <w:qFormat/>
    <w:rsid w:val="00747079"/>
    <w:rPr>
      <w:rFonts w:ascii="Tahoma" w:hAnsi="Tahoma" w:cs="Tahoma"/>
      <w:sz w:val="16"/>
      <w:szCs w:val="16"/>
    </w:rPr>
  </w:style>
  <w:style w:type="paragraph" w:styleId="ae">
    <w:name w:val="No Spacing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gk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Елена Россиева</cp:lastModifiedBy>
  <cp:revision>3</cp:revision>
  <cp:lastPrinted>2020-03-27T14:24:00Z</cp:lastPrinted>
  <dcterms:created xsi:type="dcterms:W3CDTF">2020-04-15T09:10:00Z</dcterms:created>
  <dcterms:modified xsi:type="dcterms:W3CDTF">2020-04-15T09:10:00Z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