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D4" w:rsidRPr="001C4E35" w:rsidRDefault="001C4E35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4E35">
        <w:rPr>
          <w:rFonts w:ascii="Times New Roman" w:hAnsi="Times New Roman" w:cs="Times New Roman"/>
          <w:b/>
          <w:sz w:val="28"/>
          <w:szCs w:val="28"/>
        </w:rPr>
        <w:t>Выдача градостроительных планов земельных участков</w:t>
      </w:r>
    </w:p>
    <w:p w:rsidR="001C4E35" w:rsidRPr="001C4E35" w:rsidRDefault="001C4E35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5338D9" w:rsidTr="003D7CB1">
        <w:tc>
          <w:tcPr>
            <w:tcW w:w="2660" w:type="dxa"/>
          </w:tcPr>
          <w:p w:rsidR="006A2E61" w:rsidRPr="005338D9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756AFB" w:rsidRPr="00580CB5" w:rsidRDefault="00756AFB" w:rsidP="0065354D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1C4E35"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>24.01</w:t>
            </w:r>
            <w:r w:rsidR="009118D4"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1C4E35"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  <w:r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1C4E35" w:rsidRPr="00580CB5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градостроительных планов земельных участков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526" w:rsidRPr="00580CB5" w:rsidRDefault="00A52526" w:rsidP="00653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F3C" w:rsidRPr="005338D9" w:rsidTr="003D7CB1">
        <w:tc>
          <w:tcPr>
            <w:tcW w:w="2660" w:type="dxa"/>
          </w:tcPr>
          <w:p w:rsidR="006A2E61" w:rsidRPr="005338D9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4D5461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580CB5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580CB5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580CB5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bookmarkStart w:id="0" w:name="_GoBack"/>
              <w:bookmarkEnd w:id="0"/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tuapse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</w:hyperlink>
          </w:p>
        </w:tc>
      </w:tr>
      <w:tr w:rsidR="00320F3C" w:rsidRPr="005338D9" w:rsidTr="003D7CB1">
        <w:tc>
          <w:tcPr>
            <w:tcW w:w="2660" w:type="dxa"/>
          </w:tcPr>
          <w:p w:rsidR="003D7CB1" w:rsidRPr="005338D9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580CB5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580CB5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580CB5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B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Межмуниципальный отдел по г. Горячий Ключ и Туапсинскому району Управления Росреестра по Краснодарскому краю</w:t>
            </w:r>
            <w:r w:rsidRPr="00580C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580CB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E35" w:rsidRPr="00580CB5" w:rsidRDefault="001C4E35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E35" w:rsidRPr="00580CB5" w:rsidRDefault="001C4E35" w:rsidP="001C4E3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Организации, осуществляющие эксплуатацию сетей инженерно-технического обеспечения</w:t>
            </w:r>
          </w:p>
          <w:p w:rsidR="002A3949" w:rsidRPr="00580CB5" w:rsidRDefault="002A3949" w:rsidP="001C4E3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МУП «ВКХ Новомихайловского городского поселения Туапсинского района»</w:t>
            </w:r>
          </w:p>
          <w:p w:rsidR="002A3949" w:rsidRPr="00580CB5" w:rsidRDefault="002A3949" w:rsidP="002A39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352855, Краснодарский край, Туапсинский район, пгт. Новомихайловский, ул. Мира, д. 73, кабинет 25</w:t>
            </w:r>
          </w:p>
          <w:p w:rsidR="002A3949" w:rsidRPr="00580CB5" w:rsidRDefault="002A3949" w:rsidP="002A3949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МУП «ЖКХ Небугского сельского поселения»</w:t>
            </w:r>
          </w:p>
          <w:p w:rsidR="005A663C" w:rsidRPr="00580CB5" w:rsidRDefault="002A3949" w:rsidP="005A663C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</w:t>
            </w:r>
            <w:r w:rsidR="005A663C" w:rsidRPr="00580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, Краснодарский край,</w:t>
            </w:r>
            <w:r w:rsidR="005A663C"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Туапсинский район, с.</w:t>
            </w:r>
            <w:r w:rsidR="001C4E35"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5A663C"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ебуг</w:t>
            </w:r>
            <w:r w:rsidR="001C4E35"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63C"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ул. Центральная, д. 7</w:t>
            </w:r>
          </w:p>
          <w:p w:rsidR="001C4E35" w:rsidRPr="00580CB5" w:rsidRDefault="005A663C" w:rsidP="001C4E3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МУП «Райводоканал» </w:t>
            </w:r>
          </w:p>
          <w:p w:rsidR="005A663C" w:rsidRPr="00580CB5" w:rsidRDefault="005A663C" w:rsidP="005A663C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 352855, Краснодарский край,</w:t>
            </w:r>
            <w:r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Туапсинский район, пгт. Новомихайловский, ул. Ленина, 27</w:t>
            </w:r>
          </w:p>
          <w:p w:rsidR="005A663C" w:rsidRPr="00580CB5" w:rsidRDefault="005A663C" w:rsidP="005A663C">
            <w:pPr>
              <w:autoSpaceDE w:val="0"/>
              <w:autoSpaceDN w:val="0"/>
              <w:adjustRightInd w:val="0"/>
              <w:ind w:firstLine="709"/>
              <w:jc w:val="center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МУП Шепсинского сельского </w:t>
            </w:r>
            <w:r w:rsidR="004E5370"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поселения Туапсинского района «Дорблагоустройство»</w:t>
            </w:r>
          </w:p>
          <w:p w:rsidR="004E5370" w:rsidRPr="00580CB5" w:rsidRDefault="004E5370" w:rsidP="004E537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352815, Краснодарский край,</w:t>
            </w:r>
            <w:r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Туапсинский район, с. Шепси, ул. Горная, 19</w:t>
            </w:r>
          </w:p>
          <w:p w:rsidR="001C4E35" w:rsidRPr="00580CB5" w:rsidRDefault="001C4E35" w:rsidP="001C4E35">
            <w:pPr>
              <w:autoSpaceDE w:val="0"/>
              <w:autoSpaceDN w:val="0"/>
              <w:adjustRightInd w:val="0"/>
              <w:ind w:firstLine="709"/>
              <w:jc w:val="center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</w:p>
          <w:p w:rsidR="00565FB6" w:rsidRPr="00580CB5" w:rsidRDefault="00565FB6" w:rsidP="001C4E3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МУП "ЖКХ г. Туапсе"</w:t>
            </w:r>
          </w:p>
          <w:p w:rsidR="004E5370" w:rsidRPr="00580CB5" w:rsidRDefault="004E5370" w:rsidP="004E537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</w:t>
            </w:r>
            <w:r w:rsidRPr="00580CB5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Туапсинский район, г. Туапсе, Привокзальный тупик, 1</w:t>
            </w:r>
          </w:p>
          <w:p w:rsidR="00624FFB" w:rsidRPr="00580CB5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580CB5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580CB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80C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5338D9" w:rsidTr="003D7CB1">
        <w:tc>
          <w:tcPr>
            <w:tcW w:w="2660" w:type="dxa"/>
          </w:tcPr>
          <w:p w:rsidR="00AC7847" w:rsidRPr="005338D9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Земельный кодекс Российской Федерации (текст Кодекса опубликован в «Российской газете» от 30 октября 2001 г. N 211-212, в «Парламентской газете» от 30 октября 2001 г. N 204-205, в Собрании законодательства Российской Федерации от 29 октября 2001 г. N 44 ст. 4147);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 xml:space="preserve">Федеральный закон от 6 апреля 2011 года № 63-ФЗ «Об электронной подписи» (текст Федерального закона опубликован в </w:t>
            </w:r>
            <w:r w:rsidRPr="00580CB5">
              <w:rPr>
                <w:rFonts w:ascii="Times New Roman" w:hAnsi="Times New Roman" w:cs="Times New Roman"/>
              </w:rPr>
              <w:lastRenderedPageBreak/>
              <w:t>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580CB5" w:rsidRDefault="00257167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936C5" w:rsidRPr="00580CB5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580CB5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580CB5">
              <w:rPr>
                <w:rFonts w:ascii="Times New Roman" w:hAnsi="Times New Roman" w:cs="Times New Roman"/>
                <w:b/>
              </w:rPr>
              <w:t>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</w:p>
          <w:p w:rsidR="00F936C5" w:rsidRPr="00580CB5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80CB5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580CB5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 сентября 2012 г. N 36 ст. 4903);</w:t>
            </w:r>
          </w:p>
          <w:p w:rsidR="00580CB5" w:rsidRPr="00580CB5" w:rsidRDefault="00580CB5" w:rsidP="00580CB5">
            <w:pPr>
              <w:pStyle w:val="a8"/>
              <w:ind w:firstLine="742"/>
              <w:jc w:val="both"/>
              <w:rPr>
                <w:rFonts w:ascii="Times New Roman" w:eastAsiaTheme="minorHAnsi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Приказ Министерства строительства и жилищно-коммунального хозяйства РФ от 25 апреля 2017 г. N 741/пр "Об утверждении формы градостроительного плана земельного участка и порядка ее заполнения" (</w:t>
            </w:r>
            <w:r w:rsidRPr="00580CB5">
              <w:rPr>
                <w:rFonts w:ascii="Times New Roman" w:eastAsiaTheme="minorHAnsi" w:hAnsi="Times New Roman" w:cs="Times New Roman"/>
              </w:rPr>
              <w:t>текст приказа опубликован на "Официальном интернет-портале правовой информации" (www.pravo.gov.ru) 31 мая 2017 г.);</w:t>
            </w:r>
          </w:p>
          <w:p w:rsidR="00F936C5" w:rsidRPr="00580CB5" w:rsidRDefault="00257167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936C5" w:rsidRPr="00580CB5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580CB5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</w:t>
            </w:r>
            <w:r w:rsidR="00320F3C" w:rsidRPr="00580CB5">
              <w:rPr>
                <w:rFonts w:ascii="Times New Roman" w:hAnsi="Times New Roman" w:cs="Times New Roman"/>
              </w:rPr>
              <w:t>;</w:t>
            </w:r>
          </w:p>
          <w:p w:rsidR="004E5370" w:rsidRPr="00580CB5" w:rsidRDefault="004E5370" w:rsidP="00580CB5">
            <w:pPr>
              <w:pStyle w:val="a8"/>
              <w:ind w:firstLine="742"/>
              <w:jc w:val="both"/>
              <w:rPr>
                <w:rFonts w:ascii="Times New Roman" w:eastAsiaTheme="minorHAnsi" w:hAnsi="Times New Roman" w:cs="Times New Roman"/>
              </w:rPr>
            </w:pPr>
            <w:r w:rsidRPr="00580CB5">
              <w:rPr>
                <w:rFonts w:ascii="Times New Roman" w:hAnsi="Times New Roman" w:cs="Times New Roman"/>
              </w:rPr>
              <w:t>Закон Краснодарского края</w:t>
            </w:r>
            <w:r w:rsidR="00580CB5" w:rsidRPr="00580CB5">
              <w:rPr>
                <w:rFonts w:ascii="Times New Roman" w:hAnsi="Times New Roman" w:cs="Times New Roman"/>
              </w:rPr>
              <w:t xml:space="preserve"> от 21 июля 2008 г. N 1540-КЗ </w:t>
            </w:r>
            <w:r w:rsidRPr="00580CB5">
              <w:rPr>
                <w:rFonts w:ascii="Times New Roman" w:hAnsi="Times New Roman" w:cs="Times New Roman"/>
              </w:rPr>
              <w:t xml:space="preserve">"Градостроительный кодекс Краснодарского края" </w:t>
            </w:r>
            <w:r w:rsidR="00580CB5" w:rsidRPr="00580CB5">
              <w:rPr>
                <w:rFonts w:ascii="Times New Roman" w:hAnsi="Times New Roman" w:cs="Times New Roman"/>
              </w:rPr>
              <w:t>(</w:t>
            </w:r>
            <w:r w:rsidR="00580CB5" w:rsidRPr="00580CB5">
              <w:rPr>
                <w:rFonts w:ascii="Times New Roman" w:eastAsiaTheme="minorHAnsi" w:hAnsi="Times New Roman" w:cs="Times New Roman"/>
              </w:rPr>
              <w:t>т</w:t>
            </w:r>
            <w:r w:rsidRPr="00580CB5">
              <w:rPr>
                <w:rFonts w:ascii="Times New Roman" w:eastAsiaTheme="minorHAnsi" w:hAnsi="Times New Roman" w:cs="Times New Roman"/>
              </w:rPr>
              <w:t>екст Закона опубликован в газете "Кубанские новости", N 122 от 24 июля 2008 г.; в Информационном бюллетене Законодательного Собрания Краснодарского края, N 9 (139) от 1 августа 2008 г. (часть I), стр. 150</w:t>
            </w:r>
            <w:r w:rsidR="00580CB5" w:rsidRPr="00580CB5">
              <w:rPr>
                <w:rFonts w:ascii="Times New Roman" w:eastAsiaTheme="minorHAnsi" w:hAnsi="Times New Roman" w:cs="Times New Roman"/>
              </w:rPr>
              <w:t>);</w:t>
            </w:r>
          </w:p>
          <w:p w:rsidR="00AC7847" w:rsidRPr="00580CB5" w:rsidRDefault="00037966" w:rsidP="006D3035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580CB5">
              <w:rPr>
                <w:shd w:val="clear" w:color="auto" w:fill="FFFFFF"/>
              </w:rPr>
              <w:t xml:space="preserve">постановление администрации муниципального образования Туапсинский район от 17 мая 2018 года № 677 «Об </w:t>
            </w:r>
            <w:r w:rsidRPr="00580CB5">
              <w:rPr>
                <w:shd w:val="clear" w:color="auto" w:fill="FFFFFF"/>
              </w:rPr>
              <w:lastRenderedPageBreak/>
              <w:t>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«Черноморье Сегодня» от 24 мая  2018 года № 55).</w:t>
            </w:r>
          </w:p>
        </w:tc>
      </w:tr>
      <w:tr w:rsidR="00320F3C" w:rsidRPr="005338D9" w:rsidTr="003D7CB1">
        <w:tc>
          <w:tcPr>
            <w:tcW w:w="2660" w:type="dxa"/>
          </w:tcPr>
          <w:p w:rsidR="00AC7847" w:rsidRPr="005338D9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580CB5" w:rsidRPr="00580CB5" w:rsidRDefault="00580CB5" w:rsidP="00580CB5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1) заявления о выдаче градостроительного плана земельного участка  (далее – заявление) по форме согласно приложению № 1 к Регламенту, заполненное по образцу в соответствии с приложением № 2 к Регламенту (подается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заявлений);</w:t>
            </w:r>
          </w:p>
          <w:p w:rsidR="00580CB5" w:rsidRPr="00580CB5" w:rsidRDefault="00580CB5" w:rsidP="00580CB5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580CB5" w:rsidRPr="00580CB5" w:rsidRDefault="00580CB5" w:rsidP="00580CB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3) документ, подтверждающий полномочия представителя заявителя, в случае, если заявление направлено представителем заявителя (доверенность в виде электронного образа такого документа, если заявление подается или направляется в форме электронного документа); </w:t>
            </w:r>
          </w:p>
          <w:p w:rsidR="00580CB5" w:rsidRPr="00580CB5" w:rsidRDefault="00580CB5" w:rsidP="00580CB5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bCs/>
                <w:sz w:val="24"/>
                <w:szCs w:val="24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      </w:r>
          </w:p>
          <w:p w:rsidR="00580CB5" w:rsidRPr="00580CB5" w:rsidRDefault="00017527" w:rsidP="00580CB5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580CB5" w:rsidRPr="00580CB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 на земельный участок.</w:t>
            </w:r>
          </w:p>
          <w:p w:rsidR="00580CB5" w:rsidRPr="00580CB5" w:rsidRDefault="00017527" w:rsidP="00580C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580CB5" w:rsidRPr="00580CB5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подключения (технического присоединения), планируемого к строительству или реконструкции объекта капитального строительства к сетям инженерно-технического обеспечения. Подготовка документов осуществляется организацией, производящей эксплуатацию сетей инженерно-технического обеспечения;</w:t>
            </w:r>
          </w:p>
          <w:p w:rsidR="00D62F36" w:rsidRPr="00580CB5" w:rsidRDefault="00017527" w:rsidP="00580CB5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7) </w:t>
            </w:r>
            <w:r w:rsidR="00580CB5" w:rsidRPr="00580C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топографическая съемка в масштабе М 1:500, 1:2000.</w:t>
            </w:r>
          </w:p>
        </w:tc>
      </w:tr>
      <w:tr w:rsidR="00320F3C" w:rsidRPr="005338D9" w:rsidTr="003D7CB1">
        <w:tc>
          <w:tcPr>
            <w:tcW w:w="2660" w:type="dxa"/>
          </w:tcPr>
          <w:p w:rsidR="00E961D3" w:rsidRPr="005338D9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580CB5" w:rsidRDefault="00580CB5" w:rsidP="0001752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– </w:t>
            </w:r>
            <w:r w:rsidR="000175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 о выдаче градостроительного плана земельного участка в Управлении. </w:t>
            </w:r>
          </w:p>
        </w:tc>
      </w:tr>
      <w:tr w:rsidR="00320F3C" w:rsidRPr="005338D9" w:rsidTr="003D7CB1">
        <w:tc>
          <w:tcPr>
            <w:tcW w:w="2660" w:type="dxa"/>
          </w:tcPr>
          <w:p w:rsidR="00E961D3" w:rsidRPr="005338D9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580CB5" w:rsidRPr="00580CB5" w:rsidRDefault="00580CB5" w:rsidP="00580CB5">
            <w:pPr>
              <w:tabs>
                <w:tab w:val="left" w:pos="142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580CB5" w:rsidRPr="00580CB5" w:rsidRDefault="00580CB5" w:rsidP="00580C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участка;</w:t>
            </w:r>
          </w:p>
          <w:p w:rsidR="00580CB5" w:rsidRPr="00580CB5" w:rsidRDefault="00580CB5" w:rsidP="00580C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B5">
              <w:rPr>
                <w:rFonts w:ascii="Times New Roman" w:hAnsi="Times New Roman" w:cs="Times New Roman"/>
                <w:sz w:val="24"/>
                <w:szCs w:val="24"/>
              </w:rPr>
              <w:t>выдача отказа в предоставлении муниципальной услуги.</w:t>
            </w:r>
          </w:p>
          <w:p w:rsidR="006D2C3E" w:rsidRPr="00580CB5" w:rsidRDefault="006D2C3E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5338D9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8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5338D9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17527"/>
    <w:rsid w:val="00037966"/>
    <w:rsid w:val="000760DD"/>
    <w:rsid w:val="00076367"/>
    <w:rsid w:val="001236BA"/>
    <w:rsid w:val="00163AA0"/>
    <w:rsid w:val="001A738D"/>
    <w:rsid w:val="001C4E35"/>
    <w:rsid w:val="001E36D1"/>
    <w:rsid w:val="00227B3B"/>
    <w:rsid w:val="00257167"/>
    <w:rsid w:val="002A3949"/>
    <w:rsid w:val="002E5A17"/>
    <w:rsid w:val="00320F3C"/>
    <w:rsid w:val="003C604E"/>
    <w:rsid w:val="003D7CB1"/>
    <w:rsid w:val="004D5461"/>
    <w:rsid w:val="004E5370"/>
    <w:rsid w:val="005338D9"/>
    <w:rsid w:val="00565FB6"/>
    <w:rsid w:val="00580CB5"/>
    <w:rsid w:val="00581455"/>
    <w:rsid w:val="005A663C"/>
    <w:rsid w:val="00624FFB"/>
    <w:rsid w:val="00641CB7"/>
    <w:rsid w:val="00644711"/>
    <w:rsid w:val="0065354D"/>
    <w:rsid w:val="006673DB"/>
    <w:rsid w:val="00676357"/>
    <w:rsid w:val="006A2E61"/>
    <w:rsid w:val="006D2C3E"/>
    <w:rsid w:val="006D3035"/>
    <w:rsid w:val="006E412F"/>
    <w:rsid w:val="006F2393"/>
    <w:rsid w:val="00710FA1"/>
    <w:rsid w:val="00756AFB"/>
    <w:rsid w:val="007A51ED"/>
    <w:rsid w:val="007C6F5E"/>
    <w:rsid w:val="008461DE"/>
    <w:rsid w:val="009118D4"/>
    <w:rsid w:val="00A52526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C4E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pper">
    <w:name w:val="upper"/>
    <w:basedOn w:val="a0"/>
    <w:rsid w:val="001C4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C4E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pper">
    <w:name w:val="upper"/>
    <w:basedOn w:val="a0"/>
    <w:rsid w:val="001C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384053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9B7D-E178-4725-94DD-E50ECCB6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10</cp:revision>
  <dcterms:created xsi:type="dcterms:W3CDTF">2019-08-02T06:11:00Z</dcterms:created>
  <dcterms:modified xsi:type="dcterms:W3CDTF">2020-03-31T13:46:00Z</dcterms:modified>
</cp:coreProperties>
</file>