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ntTable.xml" ContentType="application/vnd.openxmlformats-officedocument.wordprocessingml.fontTable+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jc w:val="both"/>
        <w:rPr/>
      </w:pPr>
      <w:r>
        <w:rPr/>
      </w:r>
    </w:p>
    <w:p>
      <w:pPr>
        <w:pStyle w:val="ConsPlusNormal"/>
        <w:jc w:val="both"/>
        <w:rPr/>
      </w:pPr>
      <w:r>
        <w:rPr/>
      </w:r>
    </w:p>
    <w:p>
      <w:pPr>
        <w:pStyle w:val="ConsPlusNormal"/>
        <w:jc w:val="both"/>
        <w:rPr/>
      </w:pPr>
      <w:r>
        <w:rPr/>
      </w:r>
    </w:p>
    <w:p>
      <w:pPr>
        <w:pStyle w:val="ConsPlus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ConsPlusNormal"/>
        <w:jc w:val="center"/>
        <w:rPr>
          <w:rFonts w:ascii="Times New Roman" w:hAnsi="Times New Roman" w:cs="Times New Roman"/>
          <w:b/>
          <w:b/>
          <w:bCs/>
        </w:rPr>
      </w:pPr>
      <w:r>
        <w:rPr>
          <w:rFonts w:cs="Times New Roman" w:ascii="Times New Roman" w:hAnsi="Times New Roman"/>
          <w:b/>
          <w:bCs/>
        </w:rPr>
      </w:r>
    </w:p>
    <w:tbl>
      <w:tblPr>
        <w:tblStyle w:val="a3"/>
        <w:tblW w:w="9571" w:type="dxa"/>
        <w:jc w:val="left"/>
        <w:tblInd w:w="0" w:type="dxa"/>
        <w:tblCellMar>
          <w:top w:w="0" w:type="dxa"/>
          <w:left w:w="108" w:type="dxa"/>
          <w:bottom w:w="0" w:type="dxa"/>
          <w:right w:w="108" w:type="dxa"/>
        </w:tblCellMar>
        <w:tblLook w:val="04a0" w:noVBand="1" w:noHBand="0" w:firstRow="1" w:lastRow="0" w:firstColumn="1" w:lastColumn="0"/>
      </w:tblPr>
      <w:tblGrid>
        <w:gridCol w:w="9571"/>
      </w:tblGrid>
      <w:tr>
        <w:trPr/>
        <w:tc>
          <w:tcPr>
            <w:tcW w:w="9571" w:type="dxa"/>
            <w:tcBorders/>
            <w:shd w:fill="auto" w:val="clear"/>
          </w:tcPr>
          <w:p>
            <w:pPr>
              <w:pStyle w:val="ConsPlusNonformat"/>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Перечень вопросов </w:t>
            </w:r>
          </w:p>
          <w:p>
            <w:pPr>
              <w:pStyle w:val="ConsPlusNonformat"/>
              <w:spacing w:lineRule="auto" w:line="240" w:before="0" w:after="0"/>
              <w:jc w:val="center"/>
              <w:rPr/>
            </w:pPr>
            <w:bookmarkStart w:id="0" w:name="_GoBack"/>
            <w:bookmarkEnd w:id="0"/>
            <w:r>
              <w:rPr>
                <w:rFonts w:cs="Times New Roman" w:ascii="Times New Roman" w:hAnsi="Times New Roman"/>
                <w:sz w:val="28"/>
                <w:szCs w:val="28"/>
              </w:rPr>
              <w:t xml:space="preserve">для проведения публичных консультаций по  </w:t>
            </w:r>
          </w:p>
          <w:p>
            <w:pPr>
              <w:pStyle w:val="ConsPlusNonformat"/>
              <w:spacing w:lineRule="auto" w:line="240" w:before="0" w:after="0"/>
              <w:jc w:val="center"/>
              <w:rPr/>
            </w:pPr>
            <w:r>
              <w:rPr>
                <w:rFonts w:cs="Times New Roman" w:ascii="Times New Roman" w:hAnsi="Times New Roman"/>
                <w:sz w:val="28"/>
                <w:szCs w:val="28"/>
              </w:rPr>
              <w:t xml:space="preserve">проекту </w:t>
            </w:r>
            <w:r>
              <w:rPr>
                <w:rFonts w:eastAsia="Times New Roman" w:cs="Times New Roman" w:ascii="Times New Roman" w:hAnsi="Times New Roman"/>
                <w:sz w:val="28"/>
                <w:szCs w:val="28"/>
                <w:lang w:eastAsia="ru-RU"/>
              </w:rPr>
              <w:t>постановления</w:t>
            </w:r>
            <w:r>
              <w:rPr>
                <w:rFonts w:cs="Times New Roman" w:ascii="Times New Roman" w:hAnsi="Times New Roman"/>
                <w:sz w:val="28"/>
                <w:szCs w:val="28"/>
              </w:rPr>
              <w:t xml:space="preserve"> «</w:t>
            </w:r>
            <w:r>
              <w:rPr>
                <w:rFonts w:cs="Times New Roman" w:ascii="Times New Roman" w:hAnsi="Times New Roman"/>
                <w:b w:val="false"/>
                <w:bCs w:val="false"/>
                <w:color w:val="000000"/>
                <w:sz w:val="28"/>
                <w:szCs w:val="28"/>
              </w:rPr>
              <w:t xml:space="preserve">Об утверждении </w:t>
            </w:r>
            <w:r>
              <w:rPr>
                <w:rFonts w:cs="Times New Roman" w:ascii="Times New Roman" w:hAnsi="Times New Roman"/>
                <w:b w:val="false"/>
                <w:bCs w:val="false"/>
                <w:sz w:val="28"/>
                <w:szCs w:val="28"/>
              </w:rPr>
              <w:t xml:space="preserve">Порядка предоставления грантов </w:t>
            </w:r>
            <w:r>
              <w:rPr>
                <w:rFonts w:ascii="Times New Roman" w:hAnsi="Times New Roman"/>
                <w:b w:val="false"/>
                <w:bCs w:val="false"/>
                <w:sz w:val="28"/>
                <w:szCs w:val="28"/>
              </w:rPr>
              <w:t xml:space="preserve">в форме субсидии частным образовательным организациям, организациям, осуществляющим обучение, индивидуальным предпринимателям, </w:t>
            </w:r>
          </w:p>
          <w:p>
            <w:pPr>
              <w:pStyle w:val="Normal"/>
              <w:widowControl w:val="false"/>
              <w:numPr>
                <w:ilvl w:val="0"/>
                <w:numId w:val="0"/>
              </w:numPr>
              <w:autoSpaceDE w:val="false"/>
              <w:spacing w:lineRule="auto" w:line="240" w:before="0" w:after="0"/>
              <w:jc w:val="center"/>
              <w:outlineLvl w:val="0"/>
              <w:rPr>
                <w:rFonts w:ascii="Times New Roman" w:hAnsi="Times New Roman"/>
                <w:b w:val="false"/>
                <w:b w:val="false"/>
                <w:bCs w:val="false"/>
                <w:sz w:val="28"/>
                <w:szCs w:val="28"/>
              </w:rPr>
            </w:pPr>
            <w:r>
              <w:rPr>
                <w:rFonts w:ascii="Times New Roman" w:hAnsi="Times New Roman"/>
                <w:b w:val="false"/>
                <w:bCs w:val="false"/>
                <w:sz w:val="28"/>
                <w:szCs w:val="28"/>
              </w:rPr>
              <w:t xml:space="preserve">государственным образовательным организациям, муниципальным образовательным организациям, в отношении которых органами местного </w:t>
            </w:r>
          </w:p>
          <w:p>
            <w:pPr>
              <w:pStyle w:val="Normal"/>
              <w:widowControl w:val="false"/>
              <w:numPr>
                <w:ilvl w:val="0"/>
                <w:numId w:val="0"/>
              </w:numPr>
              <w:autoSpaceDE w:val="false"/>
              <w:spacing w:lineRule="auto" w:line="240" w:before="0" w:after="0"/>
              <w:jc w:val="center"/>
              <w:outlineLvl w:val="0"/>
              <w:rPr>
                <w:rFonts w:ascii="Times New Roman" w:hAnsi="Times New Roman"/>
                <w:b w:val="false"/>
                <w:b w:val="false"/>
                <w:bCs w:val="false"/>
                <w:sz w:val="28"/>
                <w:szCs w:val="28"/>
              </w:rPr>
            </w:pPr>
            <w:r>
              <w:rPr>
                <w:rFonts w:ascii="Times New Roman" w:hAnsi="Times New Roman"/>
                <w:b w:val="false"/>
                <w:bCs w:val="false"/>
                <w:sz w:val="28"/>
                <w:szCs w:val="28"/>
              </w:rPr>
              <w:t xml:space="preserve">самоуправления муниципального образования Туапсинский район не осуществляются функции и полномочия учредителя, включенными </w:t>
            </w:r>
          </w:p>
          <w:p>
            <w:pPr>
              <w:pStyle w:val="Normal"/>
              <w:widowControl w:val="false"/>
              <w:numPr>
                <w:ilvl w:val="0"/>
                <w:numId w:val="0"/>
              </w:numPr>
              <w:autoSpaceDE w:val="false"/>
              <w:spacing w:lineRule="auto" w:line="240" w:before="0" w:after="0"/>
              <w:jc w:val="center"/>
              <w:outlineLvl w:val="0"/>
              <w:rPr>
                <w:rFonts w:ascii="Times New Roman" w:hAnsi="Times New Roman"/>
                <w:b w:val="false"/>
                <w:b w:val="false"/>
                <w:bCs w:val="false"/>
                <w:sz w:val="28"/>
                <w:szCs w:val="28"/>
              </w:rPr>
            </w:pPr>
            <w:r>
              <w:rPr>
                <w:rFonts w:ascii="Times New Roman" w:hAnsi="Times New Roman"/>
                <w:b w:val="false"/>
                <w:bCs w:val="false"/>
                <w:sz w:val="28"/>
                <w:szCs w:val="28"/>
              </w:rPr>
              <w:t>в реестр исполнителей образовательных услуг в рамках системы персонифицированного финансирования, в связи с оказанием услуг</w:t>
            </w:r>
          </w:p>
          <w:p>
            <w:pPr>
              <w:pStyle w:val="Normal"/>
              <w:widowControl w:val="false"/>
              <w:numPr>
                <w:ilvl w:val="0"/>
                <w:numId w:val="0"/>
              </w:numPr>
              <w:autoSpaceDE w:val="false"/>
              <w:spacing w:lineRule="auto" w:line="240" w:before="0" w:after="0"/>
              <w:jc w:val="center"/>
              <w:outlineLvl w:val="0"/>
              <w:rPr>
                <w:rFonts w:ascii="Times New Roman" w:hAnsi="Times New Roman"/>
                <w:sz w:val="28"/>
                <w:szCs w:val="28"/>
              </w:rPr>
            </w:pPr>
            <w:r>
              <w:rPr>
                <w:rFonts w:ascii="Times New Roman" w:hAnsi="Times New Roman"/>
                <w:b w:val="false"/>
                <w:bCs w:val="false"/>
                <w:sz w:val="28"/>
                <w:szCs w:val="28"/>
              </w:rPr>
              <w:t xml:space="preserve">по реализации дополнительных общеобразовательных программ в рамках системы </w:t>
            </w:r>
            <w:r>
              <w:rPr>
                <w:rFonts w:eastAsia="Times New Roman" w:cs="Times New Roman" w:ascii="Times New Roman" w:hAnsi="Times New Roman"/>
                <w:b w:val="false"/>
                <w:bCs w:val="false"/>
                <w:color w:val="auto"/>
                <w:kern w:val="0"/>
                <w:sz w:val="28"/>
                <w:szCs w:val="28"/>
                <w:lang w:val="ru-RU" w:eastAsia="ru-RU" w:bidi="ar-SA"/>
              </w:rPr>
              <w:t>персонифицированного финансирования»</w:t>
            </w:r>
          </w:p>
          <w:p>
            <w:pPr>
              <w:pStyle w:val="ConsPlusNonformat"/>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ConsPlusNonformat"/>
              <w:spacing w:lineRule="auto" w:line="240" w:before="0" w:after="0"/>
              <w:ind w:firstLine="709"/>
              <w:jc w:val="both"/>
              <w:rPr/>
            </w:pPr>
            <w:r>
              <w:rPr>
                <w:rFonts w:cs="Times New Roman" w:ascii="Times New Roman" w:hAnsi="Times New Roman"/>
                <w:sz w:val="28"/>
                <w:szCs w:val="28"/>
              </w:rPr>
              <w:t xml:space="preserve">Пожалуйста, заполните и направьте данную форму по электронной почте на адрес: </w:t>
            </w:r>
            <w:hyperlink r:id="rId2">
              <w:r>
                <w:rPr>
                  <w:rStyle w:val="Style17"/>
                  <w:rFonts w:cs="Times New Roman" w:ascii="Times New Roman" w:hAnsi="Times New Roman"/>
                  <w:sz w:val="28"/>
                  <w:szCs w:val="28"/>
                  <w:lang w:val="en-US"/>
                </w:rPr>
                <w:t>ecotuapregion</w:t>
              </w:r>
              <w:r>
                <w:rPr>
                  <w:rStyle w:val="Style17"/>
                  <w:rFonts w:cs="Times New Roman" w:ascii="Times New Roman" w:hAnsi="Times New Roman"/>
                  <w:sz w:val="28"/>
                  <w:szCs w:val="28"/>
                </w:rPr>
                <w:t>@</w:t>
              </w:r>
              <w:r>
                <w:rPr>
                  <w:rStyle w:val="Style17"/>
                  <w:rFonts w:cs="Times New Roman" w:ascii="Times New Roman" w:hAnsi="Times New Roman"/>
                  <w:sz w:val="28"/>
                  <w:szCs w:val="28"/>
                  <w:lang w:val="en-US"/>
                </w:rPr>
                <w:t>mail</w:t>
              </w:r>
              <w:r>
                <w:rPr>
                  <w:rStyle w:val="Style17"/>
                  <w:rFonts w:cs="Times New Roman" w:ascii="Times New Roman" w:hAnsi="Times New Roman"/>
                  <w:sz w:val="28"/>
                  <w:szCs w:val="28"/>
                </w:rPr>
                <w:t>.</w:t>
              </w:r>
              <w:r>
                <w:rPr>
                  <w:rStyle w:val="Style17"/>
                  <w:rFonts w:cs="Times New Roman" w:ascii="Times New Roman" w:hAnsi="Times New Roman"/>
                  <w:sz w:val="28"/>
                  <w:szCs w:val="28"/>
                  <w:lang w:val="en-US"/>
                </w:rPr>
                <w:t>ru</w:t>
              </w:r>
            </w:hyperlink>
            <w:r>
              <w:rPr>
                <w:rFonts w:cs="Times New Roman" w:ascii="Times New Roman" w:hAnsi="Times New Roman"/>
                <w:sz w:val="28"/>
                <w:szCs w:val="28"/>
              </w:rPr>
              <w:t xml:space="preserve">, с пометкой для </w:t>
            </w:r>
            <w:r>
              <w:rPr>
                <w:rFonts w:eastAsia="Times New Roman" w:cs="Times New Roman" w:ascii="Times New Roman" w:hAnsi="Times New Roman"/>
                <w:sz w:val="28"/>
                <w:szCs w:val="28"/>
                <w:lang w:eastAsia="ru-RU"/>
              </w:rPr>
              <w:t>Кириллова</w:t>
            </w:r>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Вячеслава</w:t>
            </w:r>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Александро</w:t>
            </w:r>
            <w:r>
              <w:rPr>
                <w:rFonts w:cs="Times New Roman" w:ascii="Times New Roman" w:hAnsi="Times New Roman"/>
                <w:sz w:val="28"/>
                <w:szCs w:val="28"/>
              </w:rPr>
              <w:t>вича.</w:t>
            </w:r>
          </w:p>
          <w:p>
            <w:pPr>
              <w:pStyle w:val="ConsPlusNonformat"/>
              <w:spacing w:lineRule="auto" w:line="240" w:before="0" w:after="0"/>
              <w:ind w:firstLine="709"/>
              <w:jc w:val="both"/>
              <w:rPr/>
            </w:pPr>
            <w:r>
              <w:rPr>
                <w:rFonts w:cs="Times New Roman" w:ascii="Times New Roman" w:hAnsi="Times New Roman"/>
                <w:sz w:val="28"/>
                <w:szCs w:val="28"/>
              </w:rPr>
              <w:t>Замечания  и  (или)</w:t>
            </w:r>
            <w:bookmarkStart w:id="1" w:name="_GoBack1"/>
            <w:bookmarkEnd w:id="1"/>
            <w:r>
              <w:rPr>
                <w:rFonts w:cs="Times New Roman" w:ascii="Times New Roman" w:hAnsi="Times New Roman"/>
                <w:sz w:val="28"/>
                <w:szCs w:val="28"/>
              </w:rPr>
              <w:t xml:space="preserve">  предложения,  направленные после  указанного  срока,  а  также  направленные  не  в  соответствии  с настоящей формой, рассмотрению не подлежат.</w:t>
            </w:r>
          </w:p>
        </w:tc>
      </w:tr>
    </w:tbl>
    <w:p>
      <w:pPr>
        <w:pStyle w:val="ConsPlusNormal"/>
        <w:jc w:val="both"/>
        <w:rPr/>
      </w:pPr>
      <w:r>
        <w:rPr/>
      </w:r>
    </w:p>
    <w:tbl>
      <w:tblPr>
        <w:tblStyle w:val="a3"/>
        <w:tblW w:w="9571" w:type="dxa"/>
        <w:jc w:val="center"/>
        <w:tblInd w:w="0" w:type="dxa"/>
        <w:tblCellMar>
          <w:top w:w="0" w:type="dxa"/>
          <w:left w:w="108" w:type="dxa"/>
          <w:bottom w:w="0" w:type="dxa"/>
          <w:right w:w="108" w:type="dxa"/>
        </w:tblCellMar>
        <w:tblLook w:val="04a0" w:noVBand="1" w:noHBand="0" w:lastColumn="0" w:firstColumn="1" w:lastRow="0" w:firstRow="1"/>
      </w:tblPr>
      <w:tblGrid>
        <w:gridCol w:w="9571"/>
      </w:tblGrid>
      <w:tr>
        <w:trPr/>
        <w:tc>
          <w:tcPr>
            <w:tcW w:w="9571" w:type="dxa"/>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t>Контактная информация:</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наименование организации</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сфера деятельности организации</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Ф.И.О. контактного лица</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номер контактного телефона</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адрес электронной почты</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bl>
    <w:p>
      <w:pPr>
        <w:pStyle w:val="ConsPlusNormal"/>
        <w:jc w:val="both"/>
        <w:rPr/>
      </w:pPr>
      <w:r>
        <w:rPr/>
      </w:r>
    </w:p>
    <w:tbl>
      <w:tblPr>
        <w:tblStyle w:val="a3"/>
        <w:tblW w:w="9571" w:type="dxa"/>
        <w:jc w:val="left"/>
        <w:tblInd w:w="0" w:type="dxa"/>
        <w:tblCellMar>
          <w:top w:w="0" w:type="dxa"/>
          <w:left w:w="108" w:type="dxa"/>
          <w:bottom w:w="0" w:type="dxa"/>
          <w:right w:w="108" w:type="dxa"/>
        </w:tblCellMar>
        <w:tblLook w:val="04a0" w:noVBand="1" w:noHBand="0" w:lastColumn="0" w:firstColumn="1" w:lastRow="0" w:firstRow="1"/>
      </w:tblPr>
      <w:tblGrid>
        <w:gridCol w:w="9571"/>
      </w:tblGrid>
      <w:tr>
        <w:trPr/>
        <w:tc>
          <w:tcPr>
            <w:tcW w:w="9571" w:type="dxa"/>
            <w:tcBorders/>
            <w:shd w:fill="auto" w:val="clear"/>
          </w:tcPr>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Туапсинский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имеются ли технические ошибки;</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создает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муниципального образования Туапсинский район и должностных лиц, допускает ли возможность избирательного применения норм;</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правового регулирования.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Предусмотрен ли в нем механизм защиты прав хозяйствующих субъектов?</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p>
            <w:pPr>
              <w:pStyle w:val="ConsPlusNormal"/>
              <w:spacing w:lineRule="auto" w:line="240" w:before="0" w:after="0"/>
              <w:jc w:val="both"/>
              <w:rPr/>
            </w:pPr>
            <w:r>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pPr>
                  <w:r>
                    <w:rPr/>
                  </w:r>
                </w:p>
              </w:tc>
            </w:tr>
          </w:tbl>
          <w:p>
            <w:pPr>
              <w:pStyle w:val="ConsPlusNormal"/>
              <w:spacing w:lineRule="auto" w:line="240" w:before="0" w:after="0"/>
              <w:jc w:val="both"/>
              <w:rPr/>
            </w:pPr>
            <w:r>
              <w:rPr/>
            </w:r>
          </w:p>
          <w:p>
            <w:pPr>
              <w:pStyle w:val="ConsPlusNormal"/>
              <w:spacing w:lineRule="auto" w:line="240" w:before="0" w:after="0"/>
              <w:jc w:val="both"/>
              <w:rPr/>
            </w:pPr>
            <w:r>
              <w:rPr/>
            </w:r>
          </w:p>
        </w:tc>
      </w:tr>
    </w:tbl>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jc w:val="both"/>
        <w:rPr/>
      </w:pPr>
      <w:r>
        <w:rPr>
          <w:rFonts w:eastAsia="Times New Roman" w:cs="Times New Roman" w:ascii="Times New Roman" w:hAnsi="Times New Roman"/>
          <w:color w:val="auto"/>
          <w:kern w:val="0"/>
          <w:sz w:val="28"/>
          <w:szCs w:val="28"/>
          <w:lang w:val="ru-RU" w:eastAsia="ru-RU" w:bidi="ar-SA"/>
        </w:rPr>
        <w:t>Исполняющий обязанности н</w:t>
      </w:r>
      <w:r>
        <w:rPr>
          <w:rFonts w:cs="Times New Roman" w:ascii="Times New Roman" w:hAnsi="Times New Roman"/>
          <w:sz w:val="28"/>
          <w:szCs w:val="28"/>
        </w:rPr>
        <w:t>ачальник</w:t>
      </w:r>
      <w:r>
        <w:rPr>
          <w:rFonts w:cs="Times New Roman" w:ascii="Times New Roman" w:hAnsi="Times New Roman"/>
          <w:sz w:val="28"/>
          <w:szCs w:val="28"/>
        </w:rPr>
        <w:t>а</w:t>
      </w:r>
    </w:p>
    <w:p>
      <w:pPr>
        <w:pStyle w:val="ConsPlusNormal"/>
        <w:jc w:val="both"/>
        <w:rPr/>
      </w:pPr>
      <w:r>
        <w:rPr>
          <w:rFonts w:cs="Times New Roman" w:ascii="Times New Roman" w:hAnsi="Times New Roman"/>
          <w:sz w:val="28"/>
          <w:szCs w:val="28"/>
        </w:rPr>
        <w:t>управления экономического развития</w:t>
      </w:r>
    </w:p>
    <w:p>
      <w:pPr>
        <w:pStyle w:val="ConsPlusNormal"/>
        <w:jc w:val="both"/>
        <w:rPr/>
      </w:pPr>
      <w:r>
        <w:rPr>
          <w:rFonts w:cs="Times New Roman" w:ascii="Times New Roman" w:hAnsi="Times New Roman"/>
          <w:sz w:val="28"/>
          <w:szCs w:val="28"/>
        </w:rPr>
        <w:t>администрации муниципального</w:t>
      </w:r>
    </w:p>
    <w:p>
      <w:pPr>
        <w:pStyle w:val="ConsPlusNormal"/>
        <w:jc w:val="both"/>
        <w:rPr/>
      </w:pPr>
      <w:r>
        <w:rPr>
          <w:rFonts w:cs="Times New Roman" w:ascii="Times New Roman" w:hAnsi="Times New Roman"/>
          <w:sz w:val="28"/>
          <w:szCs w:val="28"/>
        </w:rPr>
        <w:t xml:space="preserve">образования Туапсинский район                                                          </w:t>
      </w:r>
      <w:r>
        <w:rPr>
          <w:rFonts w:eastAsia="Times New Roman" w:cs="Times New Roman" w:ascii="Times New Roman" w:hAnsi="Times New Roman"/>
          <w:color w:val="auto"/>
          <w:kern w:val="0"/>
          <w:sz w:val="28"/>
          <w:szCs w:val="28"/>
          <w:lang w:val="ru-RU" w:eastAsia="ru-RU" w:bidi="ar-SA"/>
        </w:rPr>
        <w:t>А</w:t>
      </w:r>
      <w:r>
        <w:rPr>
          <w:rFonts w:cs="Times New Roman" w:ascii="Times New Roman" w:hAnsi="Times New Roman"/>
          <w:sz w:val="28"/>
          <w:szCs w:val="28"/>
        </w:rPr>
        <w:t>.</w:t>
      </w:r>
      <w:r>
        <w:rPr>
          <w:rFonts w:eastAsia="Times New Roman" w:cs="Times New Roman" w:ascii="Times New Roman" w:hAnsi="Times New Roman"/>
          <w:color w:val="auto"/>
          <w:kern w:val="0"/>
          <w:sz w:val="28"/>
          <w:szCs w:val="28"/>
          <w:lang w:val="ru-RU" w:eastAsia="ru-RU" w:bidi="ar-SA"/>
        </w:rPr>
        <w:t>В</w:t>
      </w:r>
      <w:r>
        <w:rPr>
          <w:rFonts w:cs="Times New Roman" w:ascii="Times New Roman" w:hAnsi="Times New Roman"/>
          <w:sz w:val="28"/>
          <w:szCs w:val="28"/>
        </w:rPr>
        <w:t xml:space="preserve">. </w:t>
      </w:r>
      <w:r>
        <w:rPr>
          <w:rFonts w:eastAsia="Times New Roman" w:cs="Times New Roman" w:ascii="Times New Roman" w:hAnsi="Times New Roman"/>
          <w:color w:val="auto"/>
          <w:kern w:val="0"/>
          <w:sz w:val="28"/>
          <w:szCs w:val="28"/>
          <w:lang w:val="ru-RU" w:eastAsia="ru-RU" w:bidi="ar-SA"/>
        </w:rPr>
        <w:t>Крят</w:t>
      </w:r>
    </w:p>
    <w:p>
      <w:pPr>
        <w:pStyle w:val="ConsPlusNormal"/>
        <w:jc w:val="both"/>
        <w:rPr/>
      </w:pPr>
      <w:r>
        <w:rPr/>
      </w:r>
    </w:p>
    <w:p>
      <w:pPr>
        <w:pStyle w:val="Normal"/>
        <w:widowControl/>
        <w:bidi w:val="0"/>
        <w:spacing w:lineRule="auto" w:line="276" w:before="0" w:after="200"/>
        <w:jc w:val="left"/>
        <w:rPr/>
      </w:pPr>
      <w:r>
        <w:rPr/>
      </w:r>
    </w:p>
    <w:sectPr>
      <w:headerReference w:type="default" r:id="rId3"/>
      <w:type w:val="nextPage"/>
      <w:pgSz w:w="11906" w:h="16838"/>
      <w:pgMar w:left="1701" w:right="850" w:header="708" w:top="1134"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 w:name="Courier New">
    <w:charset w:val="01"/>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999146573"/>
    </w:sdtPr>
    <w:sdtContent>
      <w:p>
        <w:pPr>
          <w:pStyle w:val="Style24"/>
          <w:jc w:val="center"/>
          <w:rPr/>
        </w:pPr>
        <w:r>
          <w:rPr>
            <w:rFonts w:ascii="Times New Roman" w:hAnsi="Times New Roman"/>
            <w:sz w:val="28"/>
            <w:szCs w:val="28"/>
          </w:rPr>
          <w:fldChar w:fldCharType="begin"/>
        </w:r>
        <w:r>
          <w:rPr>
            <w:sz w:val="28"/>
            <w:szCs w:val="28"/>
            <w:rFonts w:ascii="Times New Roman" w:hAnsi="Times New Roman"/>
          </w:rPr>
          <w:instrText> PAGE </w:instrText>
        </w:r>
        <w:r>
          <w:rPr>
            <w:sz w:val="28"/>
            <w:szCs w:val="28"/>
            <w:rFonts w:ascii="Times New Roman" w:hAnsi="Times New Roman"/>
          </w:rPr>
          <w:fldChar w:fldCharType="separate"/>
        </w:r>
        <w:r>
          <w:rPr>
            <w:sz w:val="28"/>
            <w:szCs w:val="28"/>
            <w:rFonts w:ascii="Times New Roman" w:hAnsi="Times New Roman"/>
          </w:rPr>
          <w:t>5</w:t>
        </w:r>
        <w:r>
          <w:rPr>
            <w:sz w:val="28"/>
            <w:szCs w:val="28"/>
            <w:rFonts w:ascii="Times New Roman" w:hAnsi="Times New Roman"/>
          </w:rPr>
          <w:fldChar w:fldCharType="end"/>
        </w:r>
      </w:p>
    </w:sdtContent>
  </w:sdt>
  <w:p>
    <w:pPr>
      <w:pStyle w:val="Style24"/>
      <w:rPr/>
    </w:pPr>
    <w:r>
      <w:rPr/>
    </w:r>
  </w:p>
</w:hdr>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e3383"/>
    <w:pPr>
      <w:widowControl/>
      <w:bidi w:val="0"/>
      <w:spacing w:lineRule="auto" w:line="276" w:before="0" w:after="200"/>
      <w:jc w:val="left"/>
    </w:pPr>
    <w:rPr>
      <w:rFonts w:ascii="Calibri" w:hAnsi="Calibri" w:eastAsia="Times New Roman" w:cs="Times New Roman" w:asciiTheme="minorHAnsi"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4"/>
    <w:uiPriority w:val="99"/>
    <w:qFormat/>
    <w:rsid w:val="006e36aa"/>
    <w:rPr>
      <w:rFonts w:ascii="Calibri" w:hAnsi="Calibri" w:eastAsia="Times New Roman" w:cs="Times New Roman"/>
      <w:lang w:eastAsia="ru-RU"/>
    </w:rPr>
  </w:style>
  <w:style w:type="character" w:styleId="Style15" w:customStyle="1">
    <w:name w:val="Нижний колонтитул Знак"/>
    <w:basedOn w:val="DefaultParagraphFont"/>
    <w:link w:val="a6"/>
    <w:uiPriority w:val="99"/>
    <w:qFormat/>
    <w:rsid w:val="006e36aa"/>
    <w:rPr>
      <w:rFonts w:ascii="Calibri" w:hAnsi="Calibri" w:eastAsia="Times New Roman" w:cs="Times New Roman"/>
      <w:lang w:eastAsia="ru-RU"/>
    </w:rPr>
  </w:style>
  <w:style w:type="character" w:styleId="Style16" w:customStyle="1">
    <w:name w:val="Текст выноски Знак"/>
    <w:basedOn w:val="DefaultParagraphFont"/>
    <w:link w:val="a8"/>
    <w:uiPriority w:val="99"/>
    <w:semiHidden/>
    <w:qFormat/>
    <w:rsid w:val="008e24a9"/>
    <w:rPr>
      <w:rFonts w:ascii="Tahoma" w:hAnsi="Tahoma" w:eastAsia="Times New Roman" w:cs="Tahoma"/>
      <w:sz w:val="16"/>
      <w:szCs w:val="16"/>
      <w:lang w:eastAsia="ru-RU"/>
    </w:rPr>
  </w:style>
  <w:style w:type="character" w:styleId="Style17">
    <w:name w:val="Интернет-ссылка"/>
    <w:rPr>
      <w:color w:val="000080"/>
      <w:u w:val="single"/>
      <w:lang w:val="zxx" w:eastAsia="zxx" w:bidi="zxx"/>
    </w:rPr>
  </w:style>
  <w:style w:type="paragraph" w:styleId="Style18">
    <w:name w:val="Заголовок"/>
    <w:basedOn w:val="Normal"/>
    <w:next w:val="Style19"/>
    <w:qFormat/>
    <w:pPr>
      <w:keepNext w:val="true"/>
      <w:spacing w:before="240" w:after="120"/>
    </w:pPr>
    <w:rPr>
      <w:rFonts w:ascii="Liberation Sans" w:hAnsi="Liberation Sans" w:eastAsia="Droid Sans Fallback" w:cs="Droid Sans Devanagari"/>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Droid Sans Devanagari"/>
    </w:rPr>
  </w:style>
  <w:style w:type="paragraph" w:styleId="Style21">
    <w:name w:val="Caption"/>
    <w:basedOn w:val="Normal"/>
    <w:qFormat/>
    <w:pPr>
      <w:suppressLineNumbers/>
      <w:spacing w:before="120" w:after="120"/>
    </w:pPr>
    <w:rPr>
      <w:rFonts w:cs="Droid Sans Devanagari"/>
      <w:i/>
      <w:iCs/>
      <w:sz w:val="24"/>
      <w:szCs w:val="24"/>
    </w:rPr>
  </w:style>
  <w:style w:type="paragraph" w:styleId="Style22">
    <w:name w:val="Указатель"/>
    <w:basedOn w:val="Normal"/>
    <w:qFormat/>
    <w:pPr>
      <w:suppressLineNumbers/>
    </w:pPr>
    <w:rPr>
      <w:rFonts w:cs="Droid Sans Devanagari"/>
    </w:rPr>
  </w:style>
  <w:style w:type="paragraph" w:styleId="ConsPlusNormal" w:customStyle="1">
    <w:name w:val="ConsPlusNormal"/>
    <w:qFormat/>
    <w:rsid w:val="009e3383"/>
    <w:pPr>
      <w:widowControl w:val="false"/>
      <w:bidi w:val="0"/>
      <w:spacing w:lineRule="auto" w:line="240" w:before="0" w:after="0"/>
      <w:jc w:val="left"/>
    </w:pPr>
    <w:rPr>
      <w:rFonts w:ascii="Arial" w:hAnsi="Arial" w:eastAsia="Times New Roman" w:cs="Arial"/>
      <w:color w:val="auto"/>
      <w:kern w:val="0"/>
      <w:sz w:val="20"/>
      <w:szCs w:val="20"/>
      <w:lang w:val="ru-RU" w:eastAsia="ru-RU" w:bidi="ar-SA"/>
    </w:rPr>
  </w:style>
  <w:style w:type="paragraph" w:styleId="ConsPlusNonformat" w:customStyle="1">
    <w:name w:val="ConsPlusNonformat"/>
    <w:uiPriority w:val="99"/>
    <w:qFormat/>
    <w:rsid w:val="009e3383"/>
    <w:pPr>
      <w:widowControl w:val="fals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Style23">
    <w:name w:val="Верхний и нижний колонтитулы"/>
    <w:basedOn w:val="Normal"/>
    <w:qFormat/>
    <w:pPr/>
    <w:rPr/>
  </w:style>
  <w:style w:type="paragraph" w:styleId="Style24">
    <w:name w:val="Header"/>
    <w:basedOn w:val="Normal"/>
    <w:link w:val="a5"/>
    <w:uiPriority w:val="99"/>
    <w:unhideWhenUsed/>
    <w:rsid w:val="006e36aa"/>
    <w:pPr>
      <w:tabs>
        <w:tab w:val="clear" w:pos="708"/>
        <w:tab w:val="center" w:pos="4677" w:leader="none"/>
        <w:tab w:val="right" w:pos="9355" w:leader="none"/>
      </w:tabs>
      <w:spacing w:lineRule="auto" w:line="240" w:before="0" w:after="0"/>
    </w:pPr>
    <w:rPr/>
  </w:style>
  <w:style w:type="paragraph" w:styleId="Style25">
    <w:name w:val="Footer"/>
    <w:basedOn w:val="Normal"/>
    <w:link w:val="a7"/>
    <w:uiPriority w:val="99"/>
    <w:unhideWhenUsed/>
    <w:rsid w:val="006e36aa"/>
    <w:pPr>
      <w:tabs>
        <w:tab w:val="clear" w:pos="708"/>
        <w:tab w:val="center" w:pos="4677" w:leader="none"/>
        <w:tab w:val="right" w:pos="9355" w:leader="none"/>
      </w:tabs>
      <w:spacing w:lineRule="auto" w:line="240" w:before="0" w:after="0"/>
    </w:pPr>
    <w:rPr/>
  </w:style>
  <w:style w:type="paragraph" w:styleId="BalloonText">
    <w:name w:val="Balloon Text"/>
    <w:basedOn w:val="Normal"/>
    <w:link w:val="a9"/>
    <w:uiPriority w:val="99"/>
    <w:semiHidden/>
    <w:unhideWhenUsed/>
    <w:qFormat/>
    <w:rsid w:val="008e24a9"/>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3">
    <w:name w:val="Table Grid"/>
    <w:basedOn w:val="a1"/>
    <w:uiPriority w:val="59"/>
    <w:rsid w:val="009e3383"/>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cotuapregion@mail.ru"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6DC5612-F455-4CE8-B0EF-71B8C1DAA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Application>LibreOffice/6.3.0.4$Linux_X86_64 LibreOffice_project/057fc023c990d676a43019934386b85b21a9ee99</Application>
  <Pages>5</Pages>
  <Words>859</Words>
  <Characters>7011</Characters>
  <CharactersWithSpaces>7895</CharactersWithSpaces>
  <Paragraphs>51</Paragraphs>
  <Company>Администрация МО Туапсинский район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2018-09-05T11:20:00Z</dcterms:created>
  <dc:creator>Фидяева Екатерина</dc:creator>
  <dc:description/>
  <dc:language>ru-RU</dc:language>
  <cp:lastModifiedBy/>
  <cp:lastPrinted>2017-11-27T08:44:00Z</cp:lastPrinted>
  <dcterms:modified xsi:type="dcterms:W3CDTF">2021-09-06T16:13:41Z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МО Туапсинский район</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