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4000000">
      <w:pPr>
        <w:spacing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5000000">
      <w:pPr>
        <w:spacing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6000000">
      <w:pPr>
        <w:spacing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7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08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проведенном мониторинге коррупционных рисков</w:t>
      </w:r>
    </w:p>
    <w:p w14:paraId="09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администрации Туапсинского муниципального округа</w:t>
      </w:r>
    </w:p>
    <w:p w14:paraId="0A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определения перечня должностей, в наибольшей степени</w:t>
      </w:r>
    </w:p>
    <w:p w14:paraId="0B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подверженных риску коррупции за 1 полугодие 2026 года</w:t>
      </w:r>
    </w:p>
    <w:p w14:paraId="0C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0D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0E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0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администрации муниципального образования Туапсинский район от 15 апреля 2013 года № 1164 «Об утверждении методики мониторинга коррупционных рисков в администрации муниципального образования Туапсинский район для определения перечня должностей, в наибольшей степени подверженных риску коррупции» в целях определения сфер муниципального управления и перечня должностей муниципальной службы, в наибольшей степени подверженных риску коррупции, дважды в год проводится мониторинг коррупционных рисков.</w:t>
      </w:r>
    </w:p>
    <w:p w14:paraId="1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Мониторинг коррупционных рисков проводится на основании данных, полученных по результатам:</w:t>
      </w:r>
    </w:p>
    <w:p w14:paraId="1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экспертизы жалоб и обращений граждан на наличие сведений о фактах коррупции в администрации Туапсинского муниципального округа;</w:t>
      </w:r>
    </w:p>
    <w:p w14:paraId="1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данных анализа материалов, размещенных в средствах массовой информации, о фактах коррупции 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1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результатов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и принятых мерах по их предотвращению;</w:t>
      </w:r>
    </w:p>
    <w:p w14:paraId="1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, подведомственных учреждений (организаций) и их должностных лиц, и принятых мер;</w:t>
      </w:r>
    </w:p>
    <w:p w14:paraId="1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итогов мониторинга восприятия уровня коррупции в администрации </w:t>
      </w:r>
      <w:r>
        <w:rPr>
          <w:rFonts w:ascii="Times New Roman" w:hAnsi="Times New Roman"/>
          <w:sz w:val="28"/>
        </w:rPr>
        <w:t xml:space="preserve">Туапсинского муниципального округа, на основании информации предоставляемой структурными подразделениями </w:t>
      </w:r>
      <w:r>
        <w:rPr>
          <w:rFonts w:ascii="Times New Roman" w:hAnsi="Times New Roman"/>
          <w:sz w:val="28"/>
        </w:rPr>
        <w:t xml:space="preserve">администрации Туапсинского муниципального округа </w:t>
      </w:r>
      <w:r>
        <w:rPr>
          <w:rFonts w:ascii="Times New Roman" w:hAnsi="Times New Roman"/>
          <w:sz w:val="28"/>
        </w:rPr>
        <w:t xml:space="preserve">о выполнении Плана мероприятий по противодействию коррупции в </w:t>
      </w:r>
      <w:r>
        <w:rPr>
          <w:rFonts w:ascii="Times New Roman" w:hAnsi="Times New Roman"/>
          <w:sz w:val="28"/>
        </w:rPr>
        <w:t>администрации Туапсинского муниципального округа в отчетном периоде</w:t>
      </w:r>
      <w:r>
        <w:rPr>
          <w:rFonts w:ascii="Times New Roman" w:hAnsi="Times New Roman"/>
          <w:sz w:val="28"/>
        </w:rPr>
        <w:t>;</w:t>
      </w:r>
    </w:p>
    <w:p w14:paraId="1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данных антикоррупционной экспертизы нормативных правовых актов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и их проектов за отчетный период.</w:t>
      </w:r>
    </w:p>
    <w:p w14:paraId="17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18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19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Независимая экспертиза нормативных правовых актов</w:t>
      </w:r>
    </w:p>
    <w:p w14:paraId="1A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(проектов) органов местного самоуправления Туапсинского муниципального округа на коррупциогенность</w:t>
      </w:r>
    </w:p>
    <w:p w14:paraId="1B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1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постановлением администрации муниципального образования Туапсинский район от 16 сентября 2020 года № 1460 «О проведении антикоррупционной экспертизы муниципальных правовых актов и проектов муниципальных правовых актов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Туапсинский район» на официальном сайте администрации Туапсинского муниципального округа в информационно-телекоммуникационной сети Интернет в 1 полугодии 2026 года размещено </w:t>
      </w:r>
      <w:r>
        <w:rPr>
          <w:rFonts w:ascii="Times New Roman" w:hAnsi="Times New Roman"/>
          <w:sz w:val="28"/>
        </w:rPr>
        <w:t>103</w:t>
      </w:r>
      <w:r>
        <w:rPr>
          <w:rFonts w:ascii="Times New Roman" w:hAnsi="Times New Roman"/>
          <w:sz w:val="28"/>
        </w:rPr>
        <w:t xml:space="preserve"> муниципальных правовых актов и проектов НПА с указанием дат начала и окончания приема заключений для проведения независимой антикоррупционной экспертизы.</w:t>
      </w:r>
    </w:p>
    <w:p w14:paraId="1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проекты нормативных правовых актов направлялись в органы прокуратуры для проведения антикоррупционной экспертизы.</w:t>
      </w:r>
    </w:p>
    <w:p w14:paraId="1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1 полугодии 2026 года заключений (замечаний) на наличие коррупциогенных фактов в проектах нормативных правовых актов не обнаружено, по итогам 1 полугодия 2026 года принято 87 НПА.</w:t>
      </w:r>
    </w:p>
    <w:p w14:paraId="1F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0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Независимая экспертиза нормативных правовых актов </w:t>
      </w:r>
      <w:r>
        <w:rPr>
          <w:rFonts w:ascii="Times New Roman" w:hAnsi="Times New Roman"/>
          <w:b w:val="1"/>
          <w:sz w:val="28"/>
        </w:rPr>
        <w:t xml:space="preserve">органов </w:t>
      </w:r>
      <w:r>
        <w:rPr>
          <w:rFonts w:ascii="Times New Roman" w:hAnsi="Times New Roman"/>
          <w:b w:val="1"/>
          <w:sz w:val="28"/>
        </w:rPr>
        <w:t>местного</w:t>
      </w:r>
    </w:p>
    <w:p w14:paraId="21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самоуправления Туапсинского муниципального округа </w:t>
      </w:r>
      <w:r>
        <w:rPr>
          <w:rFonts w:ascii="Times New Roman" w:hAnsi="Times New Roman"/>
          <w:b w:val="1"/>
          <w:sz w:val="28"/>
        </w:rPr>
        <w:t>на коррупциогенность</w:t>
      </w:r>
    </w:p>
    <w:p w14:paraId="22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3 статьи 76 Устава муниципального образования Туапсинский муниципальный округ Краснодарского края, муниципальные нормативные правовые акты, затрагивающие права, свободы и обязанности человека и гражданина, вступают в силу после их официального обнародования.</w:t>
      </w:r>
    </w:p>
    <w:p w14:paraId="2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Органы местного самоуправления, их должностные лица обязаны обеспечить каждому гражданину, проживающему на территории Туапсинского муниципального округа возможность ознакомления с муниципальными правовыми актами, затрагивающими права, свободы и обязанности человека и гражданина, получения полной и достоверной информации о деятельности органов местного самоуправления и их должностных лиц. Официальным опубликованием нормативного правового акта является первая его публикация в печатном средстве массовой информации.</w:t>
      </w:r>
    </w:p>
    <w:p w14:paraId="2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Нормативные правовые акты публикуются в муниципальных СМИ - газете (сетевом издании) «Туапсинские вести».</w:t>
      </w:r>
    </w:p>
    <w:p w14:paraId="2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1 полугодии 2026 года независимой экспертизы нормативных правовых актов органов местного самоуправления Туапсинского муниципального округа на коррупциогенность не проводилось.</w:t>
      </w:r>
    </w:p>
    <w:p w14:paraId="27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8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Общественная экспертиза социально - значимых решений органов местного самоуправления Туапсинского муниципального округа</w:t>
      </w:r>
    </w:p>
    <w:p w14:paraId="29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муниципальном образовании Туапсинский муниципальный округ Краснодарского края действует Совет Общественной палаты муниципального образования </w:t>
      </w:r>
      <w:r>
        <w:rPr>
          <w:rFonts w:ascii="Times New Roman" w:hAnsi="Times New Roman"/>
          <w:sz w:val="28"/>
        </w:rPr>
        <w:t>Туапсинский муниципальный округ Краснодарского края</w:t>
      </w:r>
      <w:r>
        <w:rPr>
          <w:rFonts w:ascii="Times New Roman" w:hAnsi="Times New Roman"/>
          <w:sz w:val="28"/>
        </w:rPr>
        <w:t>.</w:t>
      </w:r>
    </w:p>
    <w:p w14:paraId="2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1 полугодии 2026 года заключений по результатам общественной экспертизы социально-значимых решений органов местного самоуправления Туапсинского муниципального округа не поступало.</w:t>
      </w:r>
    </w:p>
    <w:p w14:paraId="2C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D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Экспертиза жалоб и обращений граждан по телефону «горячей линии»,</w:t>
      </w:r>
    </w:p>
    <w:p w14:paraId="2E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 также на официальном сайте администрации Туапсинского муниципального округа </w:t>
      </w:r>
      <w:r>
        <w:rPr>
          <w:rFonts w:ascii="Times New Roman" w:hAnsi="Times New Roman"/>
          <w:b w:val="1"/>
          <w:sz w:val="28"/>
        </w:rPr>
        <w:t>на наличие сведений о фактах коррупции</w:t>
      </w:r>
    </w:p>
    <w:p w14:paraId="2F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предотвращения коррупционных рисков при работе с входящей корреспонденцией, поступающей от физических и юридических лиц, осуществляется контроль за соблюдением федерального законодательства (Федеральные законы от 2 мая 2006 г. № 59-ФЗ «О порядке рассмотрения обращений граждан РФ», от 25.12.2008 № 273-ФЗ «О противодействии коррупции» и постановления администрации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Туапсинский район № 1972 от 06 декабря 2021 г. «Об утверждении Порядка организации работы телефона «горячей линии» администрации муниципального образования Туапсинский район по вопросам противодействия коррупции»).</w:t>
      </w:r>
    </w:p>
    <w:p w14:paraId="3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1 полугодии 2026 года на телефон «горячей линии», а также на официальный сайт администрации Туапсинского муниципального округа обращений не поступало. Сведений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 w14:paraId="32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3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Мониторинг восприятия уровня коррупции</w:t>
      </w:r>
    </w:p>
    <w:p w14:paraId="34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Туапсинском муниципальном округе</w:t>
      </w:r>
    </w:p>
    <w:p w14:paraId="35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один раз в полугодие, в администрации Туапсинского муниципального округа проводится мониторинг восприятия уровня коррупции.</w:t>
      </w:r>
    </w:p>
    <w:p w14:paraId="3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мониторинга восприятия уровня коррупции производится социологическое исследование. По его результатам составляется отчет о проведении социологического исследования восприятия уровня коррупции в администрации Туапсинского муниципального округа со стороны общества и бизнеса.</w:t>
      </w:r>
    </w:p>
    <w:p w14:paraId="3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1 полугодии 2026 года социологическое исследование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не проводилось.</w:t>
      </w:r>
    </w:p>
    <w:p w14:paraId="39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A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Статистические наблюдения за уровнем регистрируемых</w:t>
      </w:r>
    </w:p>
    <w:p w14:paraId="3B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коррупционных правонарушений</w:t>
      </w:r>
    </w:p>
    <w:p w14:paraId="3C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данным правоохранительных органов в 1 полугодии 2026 года на территории Туапсинского муниципального округа правоохранительными органами зарегистрировано 6</w:t>
      </w:r>
      <w:r>
        <w:rPr>
          <w:rFonts w:ascii="Times New Roman" w:hAnsi="Times New Roman"/>
          <w:sz w:val="28"/>
        </w:rPr>
        <w:t xml:space="preserve"> (АППГ 4)</w:t>
      </w:r>
      <w:r>
        <w:rPr>
          <w:rFonts w:ascii="Times New Roman" w:hAnsi="Times New Roman"/>
          <w:sz w:val="28"/>
        </w:rPr>
        <w:t xml:space="preserve"> преступлений коррупционной направленности по статьям 290 УК РФ «Получение взятки», 291 УК РФ «Дача взятки».</w:t>
      </w:r>
    </w:p>
    <w:p w14:paraId="3E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F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</w:t>
      </w:r>
    </w:p>
    <w:p w14:paraId="40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наиболее коррупционно опасных сфер деятельности</w:t>
      </w:r>
    </w:p>
    <w:p w14:paraId="41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администрации Туапсинского муниципального округа</w:t>
      </w:r>
    </w:p>
    <w:p w14:paraId="42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4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формирование, утверждение, исполнение местного бюджета и контроль за его исполнением;</w:t>
      </w:r>
    </w:p>
    <w:p w14:paraId="4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владение, пользование и распоряжение имуществом, находящимся в муниципальной собственности Туапсинского муниципального округа;</w:t>
      </w:r>
    </w:p>
    <w:p w14:paraId="4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обеспечение малоимущих граждан, проживающих в </w:t>
      </w:r>
      <w:r>
        <w:rPr>
          <w:rFonts w:ascii="Times New Roman" w:hAnsi="Times New Roman"/>
          <w:sz w:val="28"/>
        </w:rPr>
        <w:t>Туапсинском муниципальном округе</w:t>
      </w:r>
      <w:r>
        <w:rPr>
          <w:rFonts w:ascii="Times New Roman" w:hAnsi="Times New Roman"/>
          <w:sz w:val="28"/>
        </w:rPr>
        <w:t xml:space="preserve">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 w14:paraId="4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, а также организация отдыха детей в каникулярное время;</w:t>
      </w:r>
    </w:p>
    <w:p w14:paraId="4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создание условий для обеспечения жителей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услугами связи, общественного питания, торговли и бытового обслуживания;</w:t>
      </w:r>
    </w:p>
    <w:p w14:paraId="4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ведение информационной системы обеспечения градостроительной деятельности, осуществляемой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резервирование земель и их изъятие, в том числе путем выкупа, земельных участков в границах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выдача разрешений на установку рекламных конструкций, аннулирование таких разрешений, выдача предписаний о демонтаже рекламных конструкций срок действия, которых истек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предпринимательства;</w:t>
      </w:r>
    </w:p>
    <w:p w14:paraId="4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обеспечение размещения заказов на поставки товаров, выполнение работ, оказание услуг для муниципальных нужд, исполнения и контроля за исполнением муниципального заказа;</w:t>
      </w:r>
    </w:p>
    <w:p w14:paraId="4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11) осуществление муниципального финансового контроля;</w:t>
      </w:r>
    </w:p>
    <w:p w14:paraId="4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 исполнение функций муниципального контроля;</w:t>
      </w:r>
    </w:p>
    <w:p w14:paraId="4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13) предоставление услуг заявителям, а также иные непосредственные контакты с гражданами и организациями;</w:t>
      </w:r>
    </w:p>
    <w:p w14:paraId="5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14) подготовка и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 w14:paraId="5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15) подготовка и (или) принятие решений, связанных с назначением на коррупциогенные должности.</w:t>
      </w:r>
    </w:p>
    <w:p w14:paraId="52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53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Должности муниципальной службы в администрации</w:t>
      </w:r>
    </w:p>
    <w:p w14:paraId="54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Туапсинского муниципального округа, в наибольшей степени</w:t>
      </w:r>
    </w:p>
    <w:p w14:paraId="55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подверженные риску коррупции:</w:t>
      </w:r>
    </w:p>
    <w:p w14:paraId="56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57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Первый заместитель главы администрации Туапсинского муниципального округа;</w:t>
      </w:r>
    </w:p>
    <w:p w14:paraId="58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Заместитель главы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59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Начальник управления;</w:t>
      </w:r>
    </w:p>
    <w:p w14:paraId="5A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Заместитель начальника управления, отдела (самостоятельного);</w:t>
      </w:r>
    </w:p>
    <w:p w14:paraId="5B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Начальник отдела управления;</w:t>
      </w:r>
    </w:p>
    <w:p w14:paraId="5C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Начальник отдела (самостоятельного);</w:t>
      </w:r>
    </w:p>
    <w:p w14:paraId="5D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Заместитель начальника отдела управления;</w:t>
      </w:r>
    </w:p>
    <w:p w14:paraId="5E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5F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Меры по ликвидации (нейтрализации) коррупционных рисков</w:t>
      </w:r>
    </w:p>
    <w:p w14:paraId="60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6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антикоррупционная пропаганда населения;</w:t>
      </w:r>
    </w:p>
    <w:p w14:paraId="6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воспитание неприятия коррупции в молодежной среде;</w:t>
      </w:r>
    </w:p>
    <w:p w14:paraId="6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использование сети Интернет для информирования общественности о деятельности администрации и их структурных подразделений;</w:t>
      </w:r>
    </w:p>
    <w:p w14:paraId="6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рассмотрение обращений граждан на действия (бездействие) работников органов местного самоуправления;</w:t>
      </w:r>
    </w:p>
    <w:p w14:paraId="6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повышению качества издаваемых нормативных правовых актов;</w:t>
      </w:r>
    </w:p>
    <w:p w14:paraId="6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правовой экспертизы действующих нормативных правовых актов и проектов на предмет их коррупциогенности;</w:t>
      </w:r>
    </w:p>
    <w:p w14:paraId="6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 служебному поведению;</w:t>
      </w:r>
    </w:p>
    <w:p w14:paraId="6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проверок муниципальных служащих на предмет их участия в предпринимательской деятельности, оказания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 Российской Федерации»;</w:t>
      </w:r>
    </w:p>
    <w:p w14:paraId="6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обмен информацией с правоохранительными органами по проверке лиц, претендующих на поступление на муниципальную службу, на их причастность к противоправной деятельности;</w:t>
      </w:r>
    </w:p>
    <w:p w14:paraId="6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работы комиссии по урегулированию конфликта интересов и соблюдению требований к служебному поведению муниципальных служащих;</w:t>
      </w:r>
    </w:p>
    <w:p w14:paraId="6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осуществлению контроля за исполнением действующего законодательства об использовании муниципального имущества, его реализации;</w:t>
      </w:r>
    </w:p>
    <w:p w14:paraId="6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осуществлению контроля за исполнением действующего законодательства о поставках товаров, выполнении работ, оказании услуг для муниципальных нужд;</w:t>
      </w:r>
    </w:p>
    <w:p w14:paraId="6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сети удаленных рабочих мест МФЦ;</w:t>
      </w:r>
    </w:p>
    <w:p w14:paraId="6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актуализация Реестра муниципальных услуг (функций) и их регламентация;</w:t>
      </w:r>
    </w:p>
    <w:p w14:paraId="6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заседаний комиссии по урегулированию конфликта интересов и соблюдению требований к служебному поведению;</w:t>
      </w:r>
    </w:p>
    <w:p w14:paraId="7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на заседаниях Совета по взаимодействию с малым и средним бизнесом при главе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рассматривать:</w:t>
      </w:r>
    </w:p>
    <w:p w14:paraId="7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проблемы при осуществлении хозяйственной деятельности субъектами малого и среднего бизнеса;</w:t>
      </w:r>
    </w:p>
    <w:p w14:paraId="7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соблюдение трудового законодательства хозяйствующими субъектами при осуществлении предпринимательской деятельности;</w:t>
      </w:r>
    </w:p>
    <w:p w14:paraId="7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вопросы по противодействию коррупции в органах местного самоуправления и меры по устранению условий, сопутствующих бытовой коррупции.</w:t>
      </w:r>
    </w:p>
    <w:sectPr>
      <w:headerReference r:id="rId1" w:type="default"/>
      <w:pgSz w:h="16848" w:orient="portrait" w:w="11908"/>
      <w:pgMar w:bottom="907" w:footer="709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annotation subject"/>
    <w:basedOn w:val="Style_6"/>
    <w:next w:val="Style_6"/>
    <w:link w:val="Style_5_ch"/>
    <w:rPr>
      <w:b w:val="1"/>
    </w:rPr>
  </w:style>
  <w:style w:styleId="Style_5_ch" w:type="character">
    <w:name w:val="annotation subject"/>
    <w:basedOn w:val="Style_6_ch"/>
    <w:link w:val="Style_5"/>
    <w:rPr>
      <w:b w:val="1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alloon Text"/>
    <w:basedOn w:val="Style_2"/>
    <w:link w:val="Style_9_ch"/>
    <w:rPr>
      <w:rFonts w:ascii="Segoe UI" w:hAnsi="Segoe UI"/>
      <w:sz w:val="18"/>
    </w:rPr>
  </w:style>
  <w:style w:styleId="Style_9_ch" w:type="character">
    <w:name w:val="Balloon Text"/>
    <w:basedOn w:val="Style_2_ch"/>
    <w:link w:val="Style_9"/>
    <w:rPr>
      <w:rFonts w:ascii="Segoe UI" w:hAnsi="Segoe UI"/>
      <w:sz w:val="18"/>
    </w:rPr>
  </w:style>
  <w:style w:styleId="Style_10" w:type="paragraph">
    <w:name w:val="Body Text"/>
    <w:basedOn w:val="Style_2"/>
    <w:link w:val="Style_10_ch"/>
    <w:pPr>
      <w:ind/>
      <w:jc w:val="center"/>
    </w:pPr>
    <w:rPr>
      <w:b w:val="1"/>
      <w:caps w:val="1"/>
    </w:rPr>
  </w:style>
  <w:style w:styleId="Style_10_ch" w:type="character">
    <w:name w:val="Body Text"/>
    <w:basedOn w:val="Style_2_ch"/>
    <w:link w:val="Style_10"/>
    <w:rPr>
      <w:b w:val="1"/>
      <w:caps w:val="1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Style5"/>
    <w:basedOn w:val="Style_2"/>
    <w:link w:val="Style_13_ch"/>
    <w:pPr>
      <w:widowControl w:val="0"/>
      <w:spacing w:line="317" w:lineRule="exact"/>
      <w:ind w:hanging="346" w:left="346"/>
    </w:pPr>
    <w:rPr>
      <w:sz w:val="24"/>
    </w:rPr>
  </w:style>
  <w:style w:styleId="Style_13_ch" w:type="character">
    <w:name w:val="Style5"/>
    <w:basedOn w:val="Style_2_ch"/>
    <w:link w:val="Style_13"/>
    <w:rPr>
      <w:sz w:val="24"/>
    </w:rPr>
  </w:style>
  <w:style w:styleId="Style_14" w:type="paragraph">
    <w:name w:val="toc 3"/>
    <w:next w:val="Style_2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No Spacing"/>
    <w:link w:val="Style_15_ch"/>
    <w:pPr>
      <w:spacing w:after="0" w:line="240" w:lineRule="auto"/>
      <w:ind/>
    </w:pPr>
    <w:rPr>
      <w:rFonts w:ascii="Times New Roman" w:hAnsi="Times New Roman"/>
      <w:sz w:val="24"/>
    </w:rPr>
  </w:style>
  <w:style w:styleId="Style_15_ch" w:type="character">
    <w:name w:val="No Spacing"/>
    <w:link w:val="Style_15"/>
    <w:rPr>
      <w:rFonts w:ascii="Times New Roman" w:hAnsi="Times New Roman"/>
      <w:sz w:val="24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er"/>
    <w:basedOn w:val="Style_2"/>
    <w:link w:val="Style_17_ch"/>
    <w:pPr>
      <w:tabs>
        <w:tab w:leader="none" w:pos="4677" w:val="center"/>
        <w:tab w:leader="none" w:pos="9355" w:val="right"/>
      </w:tabs>
      <w:ind/>
    </w:pPr>
  </w:style>
  <w:style w:styleId="Style_17_ch" w:type="character">
    <w:name w:val="header"/>
    <w:basedOn w:val="Style_2_ch"/>
    <w:link w:val="Style_17"/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annotation reference"/>
    <w:basedOn w:val="Style_16"/>
    <w:link w:val="Style_19_ch"/>
    <w:rPr>
      <w:sz w:val="16"/>
    </w:rPr>
  </w:style>
  <w:style w:styleId="Style_19_ch" w:type="character">
    <w:name w:val="annotation reference"/>
    <w:basedOn w:val="Style_16_ch"/>
    <w:link w:val="Style_19"/>
    <w:rPr>
      <w:sz w:val="16"/>
    </w:rPr>
  </w:style>
  <w:style w:styleId="Style_20" w:type="paragraph">
    <w:name w:val="heading 1"/>
    <w:basedOn w:val="Style_2"/>
    <w:next w:val="Style_2"/>
    <w:link w:val="Style_20_ch"/>
    <w:uiPriority w:val="9"/>
    <w:qFormat/>
    <w:pPr>
      <w:keepNext w:val="1"/>
      <w:widowControl w:val="0"/>
      <w:spacing w:line="302" w:lineRule="exact"/>
      <w:ind w:firstLine="0" w:left="1094"/>
      <w:outlineLvl w:val="0"/>
    </w:pPr>
    <w:rPr>
      <w:b w:val="1"/>
      <w:color w:val="000000"/>
      <w:spacing w:val="-4"/>
    </w:rPr>
  </w:style>
  <w:style w:styleId="Style_20_ch" w:type="character">
    <w:name w:val="heading 1"/>
    <w:basedOn w:val="Style_2_ch"/>
    <w:link w:val="Style_20"/>
    <w:rPr>
      <w:b w:val="1"/>
      <w:color w:val="000000"/>
      <w:spacing w:val="-4"/>
    </w:rPr>
  </w:style>
  <w:style w:styleId="Style_6" w:type="paragraph">
    <w:name w:val="annotation text"/>
    <w:basedOn w:val="Style_2"/>
    <w:link w:val="Style_6_ch"/>
    <w:rPr>
      <w:sz w:val="20"/>
    </w:rPr>
  </w:style>
  <w:style w:styleId="Style_6_ch" w:type="character">
    <w:name w:val="annotation text"/>
    <w:basedOn w:val="Style_2_ch"/>
    <w:link w:val="Style_6"/>
    <w:rPr>
      <w:sz w:val="20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2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2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footer"/>
    <w:basedOn w:val="Style_2"/>
    <w:link w:val="Style_28_ch"/>
    <w:pPr>
      <w:tabs>
        <w:tab w:leader="none" w:pos="4677" w:val="center"/>
        <w:tab w:leader="none" w:pos="9355" w:val="right"/>
      </w:tabs>
      <w:ind/>
    </w:pPr>
  </w:style>
  <w:style w:styleId="Style_28_ch" w:type="character">
    <w:name w:val="footer"/>
    <w:basedOn w:val="Style_2_ch"/>
    <w:link w:val="Style_28"/>
  </w:style>
  <w:style w:styleId="Style_29" w:type="paragraph">
    <w:name w:val="Title"/>
    <w:next w:val="Style_2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3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2026-07-06T07:09:11Z</dcterms:modified>
</cp:coreProperties>
</file>