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494"/>
        <w:gridCol w:w="4252"/>
      </w:tblGrid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УТВЕРЖДЕН </w:t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Туапсинский район</w:t>
            </w:r>
          </w:p>
          <w:p>
            <w:pPr>
              <w:pStyle w:val="Normal"/>
              <w:tabs>
                <w:tab w:val="clear" w:pos="708"/>
                <w:tab w:val="left" w:pos="56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от___________ № ___________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предоставления грантов в форме субсидии частным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образовательным организациям, организациям,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осуществляющим обучение, индивидуальным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предпринимателям, государственным образовательным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организациям, муниципальным образовательным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организациям, в отношении которых органами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местного самоуправления 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Туапсинский район не осуществляются функции и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полномочия учредителя, включенными в реестр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исполнителей образовательных услуг в рамках системы персонифицированного финансирования, в связи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 оказанием услуг по реализации дополнительных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общеобразовательных программ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 рамках системы персонифицированного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финансирования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ListParagraph"/>
        <w:numPr>
          <w:ilvl w:val="1"/>
          <w:numId w:val="17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Настоящий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val="x-none" w:eastAsia="x-none"/>
        </w:rPr>
        <w:t>Туапсинский район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образования администрации муниципального образования Туапсинский район,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  <w:bookmarkStart w:id="0" w:name="_Ref56163217"/>
    </w:p>
    <w:p>
      <w:pPr>
        <w:pStyle w:val="ListParagraph"/>
        <w:numPr>
          <w:ilvl w:val="1"/>
          <w:numId w:val="17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№ 16.</w:t>
      </w:r>
      <w:bookmarkEnd w:id="0"/>
    </w:p>
    <w:p>
      <w:pPr>
        <w:pStyle w:val="ListParagraph"/>
        <w:numPr>
          <w:ilvl w:val="1"/>
          <w:numId w:val="17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Основные понятия, используемые в настоящем Порядке: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образования, включенные в реестр потребителей в соответствии с региональными Правилами;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управлением образования администрации муниципального образования Туапсинский район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гранты в форме субсидии − средства, предоставляемые исполнителям услуг управлени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ем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образования администрации муниципального образования Туапсинский район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Правилами ПФ ДОД;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уполномоченный орган – управление образования администрации муниципального образования Туапсинский район, являющийся 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 ПФ ДОД - Правила персонифицированного финансирования дополнительного образования детей в муниципальном образовании Туапсинский район, утвержденные постановлением администрации  муниципального образования Туапсинский район.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том значении, в каком они используются в Правилах ПФ ДОД.</w:t>
      </w:r>
    </w:p>
    <w:p>
      <w:pPr>
        <w:pStyle w:val="ListParagraph"/>
        <w:numPr>
          <w:ilvl w:val="1"/>
          <w:numId w:val="17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Уполномоченный орган осуществляет предоставление грантов в форме субсидии из бюджета муниципального образования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val="x-none" w:eastAsia="x-none"/>
        </w:rPr>
        <w:t>Туапсинский район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в соответствии с решением Совета муниципального образования Туапсинский район о бюджете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ru-RU"/>
        </w:rPr>
        <w:t>муниципального образования Туапсинский район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«Развитие образования в муниципальном образовании Туапсинский район», утвержденной </w:t>
      </w:r>
      <w:r>
        <w:rPr>
          <w:rFonts w:eastAsia="Times New Roman" w:cs="Times New Roman" w:ascii="Times New Roman" w:hAnsi="Times New Roman"/>
          <w:bCs/>
          <w:sz w:val="28"/>
          <w:szCs w:val="28"/>
          <w:lang w:val="x-none" w:eastAsia="x-none"/>
        </w:rPr>
        <w:t>постановлением администрации муниципального образования Туапсинский район от 03 декабря  2015 г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x-none"/>
        </w:rPr>
        <w:t>.</w:t>
      </w:r>
      <w:r>
        <w:rPr>
          <w:rFonts w:eastAsia="Times New Roman" w:cs="Times New Roman" w:ascii="Times New Roman" w:hAnsi="Times New Roman"/>
          <w:bCs/>
          <w:sz w:val="28"/>
          <w:szCs w:val="28"/>
          <w:lang w:val="x-none" w:eastAsia="x-none"/>
        </w:rPr>
        <w:t xml:space="preserve"> № 2744 «Об утверждении муниципальной программы «Развитие образования в муниципальном образовании Туапсинский район».</w:t>
      </w:r>
    </w:p>
    <w:p>
      <w:pPr>
        <w:pStyle w:val="ListParagraph"/>
        <w:numPr>
          <w:ilvl w:val="1"/>
          <w:numId w:val="17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Гранты в форме субсидии предоставляются в рамках мероприятия «Обеспечение внедрения персонифицированного финансирования» муниципальной программы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«Развитие образования в муниципальном образовании Туапсинский район», утвержденной </w:t>
      </w:r>
      <w:r>
        <w:rPr>
          <w:rFonts w:eastAsia="Times New Roman" w:cs="Times New Roman" w:ascii="Times New Roman" w:hAnsi="Times New Roman"/>
          <w:bCs/>
          <w:sz w:val="28"/>
          <w:szCs w:val="28"/>
          <w:lang w:val="x-none" w:eastAsia="x-none"/>
        </w:rPr>
        <w:t>постановлением администрации муниципального образования Туапсинский район от 03 декабря 2015 г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x-none"/>
        </w:rPr>
        <w:t>.</w:t>
      </w:r>
      <w:r>
        <w:rPr>
          <w:rFonts w:eastAsia="Times New Roman" w:cs="Times New Roman" w:ascii="Times New Roman" w:hAnsi="Times New Roman"/>
          <w:bCs/>
          <w:sz w:val="28"/>
          <w:szCs w:val="28"/>
          <w:lang w:val="x-none" w:eastAsia="x-none"/>
        </w:rPr>
        <w:t xml:space="preserve"> № 2744 «Об утверждении муниципальной программы «Развитие образования в  муниципальном образовании Туапсинский район»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муниципального образования </w:t>
      </w:r>
      <w:r>
        <w:rPr>
          <w:rFonts w:eastAsia="Times New Roman" w:cs="Times New Roman" w:ascii="Times New Roman" w:hAnsi="Times New Roman"/>
          <w:iCs/>
          <w:sz w:val="28"/>
          <w:szCs w:val="28"/>
          <w:lang w:val="x-none" w:eastAsia="x-none"/>
        </w:rPr>
        <w:t>Туапсинский район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ListParagraph"/>
        <w:numPr>
          <w:ilvl w:val="1"/>
          <w:numId w:val="17"/>
        </w:numPr>
        <w:spacing w:lineRule="auto" w:line="240" w:before="0" w:after="0"/>
        <w:ind w:left="0" w:firstLine="709"/>
        <w:contextualSpacing/>
        <w:jc w:val="both"/>
        <w:rPr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Категории получателей субсидий, имеющих право на получение гранта в форме субсидий: частные образовательные организации,  организации осуществляющие обучение, индивидуальные предприниматели, государственные образовательные организации, муниципальные образовательные организации в отношении которых органами местного самоуправления муниципального образования Туапсинский район 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Правилами ПФ ДОД.</w:t>
      </w:r>
    </w:p>
    <w:p>
      <w:pPr>
        <w:pStyle w:val="ListParagraph"/>
        <w:numPr>
          <w:ilvl w:val="1"/>
          <w:numId w:val="17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Сведения о субсидиях размещаются на едином портале бюджетной системы Российской Федерации в информационно-телекоммуникационной сети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«Интернет» (далее - единый портал)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 (в разделе единого портала) при формировании проекта решения о бюджете (проекта решения о внесении изменений в решение о бюджете).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>Порядок проведения отбора исполнителей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 Правилами ПФ ДОД.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Объявление о проведении отбора размещается на официальном сайте уполномоченного органа в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информационно-телекоммуникационной сети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«Интернет» (далее – официальный сайт)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x-none" w:eastAsia="x-none"/>
        </w:rPr>
        <w:t xml:space="preserve"> на котором обеспечивается проведение отбора,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не позднее чем за 30 календарных дней до даты начала проведения отбора.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Отбор проводится ежегодно с 1 января по 5 декабря.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Дата начала приема предложений (заявок): 15 ноября.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2.3. В объявлении о проведении отбора указываются следующие сведения: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наименование, место нахождения, почтовый адрес, адрес электронной почты уполномоченного органа;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цели предоставления субсидии в соответствии с пунктом </w:t>
      </w:r>
      <w:r>
        <w:rPr>
          <w:rFonts w:eastAsia="Times New Roman" w:cs="Times New Roman" w:ascii="Times New Roman" w:hAnsi="Times New Roman"/>
          <w:sz w:val="28"/>
          <w:szCs w:val="24"/>
          <w:lang w:eastAsia="x-none"/>
        </w:rPr>
        <w:t>1.2</w:t>
      </w:r>
      <w:r>
        <w:rPr>
          <w:rFonts w:eastAsia="Times New Roman" w:cs="Times New Roman" w:ascii="Times New Roman" w:hAnsi="Times New Roman"/>
          <w:sz w:val="32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настоящего Порядка, а также результаты предоставления субсидии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4.1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настоящего Порядка;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доменное имя, и (или) сетевой адрес, и (или) указатель страниц официального сайта, на котором обеспечивается проведение отбора;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требования к исполнителям услуг в соответствии с пунктом 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>2.3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t>2.5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настоящего Порядка;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правила рассмотрения и оценки заявок исполнителей услуг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t>2.9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настоящего Порядка;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срок, в течение которого победитель (победители) отбора должны подписать рамочное соглашение о предоставлении грантов в форме субсидий (далее – рамочное соглашение);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условия признания победителя (победителей) отбора уклонившимся от заключения соглашения;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дата размещения результатов отбора на официальном сайте, на котором обеспечивается проведение отбора, которая не может быть позднее 14-го календарного дня, следующего за днем определения победителя отбора.</w:t>
      </w:r>
      <w:bookmarkStart w:id="1" w:name="_Ref30949936"/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 требованиям:</w:t>
      </w:r>
      <w:bookmarkEnd w:id="1"/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включен в реестр исполнителей образовательных услуг;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образовательная услуга включена в реестр сертифицированных программ;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2">
        <w:r>
          <w:rPr>
            <w:rStyle w:val="ListLabel38"/>
            <w:rFonts w:eastAsia="Times New Roman" w:cs="Times New Roman" w:ascii="Times New Roman" w:hAnsi="Times New Roman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не получает средства из бюджета муниципального образования Туапсинский район в соответствии с иными правовыми актами на цели, установленные настоящим Порядком;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участника отбора отсутствует просроченная задолженность по возврату в бюджет муниципального образования Туапсинский район субсидий, бюджетных инвестиций, предоставленных в том числе в соответствии с иными правовыми актами;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отбора другого юридического лица)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>
      <w:pPr>
        <w:pStyle w:val="Normal"/>
        <w:widowControl w:val="false"/>
        <w:numPr>
          <w:ilvl w:val="1"/>
          <w:numId w:val="1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bookmarkStart w:id="2" w:name="_Ref56176578"/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val="x-none" w:eastAsia="x-none"/>
        </w:rPr>
        <w:t xml:space="preserve">Документы, подтверждающие соответствие исполнителя услуг критериям, указанным в пункте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x-none"/>
        </w:rPr>
        <w:t>2.4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val="x-none" w:eastAsia="x-none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widowControl w:val="false"/>
        <w:numPr>
          <w:ilvl w:val="1"/>
          <w:numId w:val="1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Краснодарском крае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Интернет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2"/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Исполнители услуг, являющиеся индивидуальными предпринимателями, одновременно с направлением заявки на участие в отборе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2.3 настоящего Порядка, либо посредством почтовой связи, либо в течение 2 рабочих дней после подачи заявки на участие в отборе должны лично явиться в уполномоченный орган для подписания указанного согласия</w:t>
      </w: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</w:t>
      </w: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bookmarkStart w:id="3" w:name="_Ref56178150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3"/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2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об отклонении заявки на стадии рассмотрения и об отказе в заключении рамочного соглашения с исполнителем услуг принимается уполномоченным органом в следующих случаях: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несоответствие исполнителя услуг требованиям, установленным пунктом </w:t>
      </w:r>
      <w:r>
        <w:rPr>
          <w:rFonts w:eastAsia="Times New Roman" w:cs="Times New Roman" w:ascii="Times New Roman" w:hAnsi="Times New Roman"/>
          <w:sz w:val="28"/>
          <w:szCs w:val="28"/>
        </w:rPr>
        <w:t>2.4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настоящего Порядка;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4" w:name="dst100080"/>
      <w:bookmarkEnd w:id="4"/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5" w:name="dst100081"/>
      <w:bookmarkEnd w:id="5"/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подача исполнителем услуг заявки после даты, определенной для подачи заявок;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Информация о результатах рассмотрения заявки исполнителя услуг размещается на официальном сайте, на котором обеспечивается проведение отбора,  не позднее чем через 14 календарных дней после определения победителей отбора и должна содержать:</w:t>
      </w:r>
    </w:p>
    <w:p>
      <w:pPr>
        <w:pStyle w:val="Normal"/>
        <w:numPr>
          <w:ilvl w:val="2"/>
          <w:numId w:val="1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дата, время и место проведения рассмотрения заявок;</w:t>
      </w:r>
    </w:p>
    <w:p>
      <w:pPr>
        <w:pStyle w:val="Normal"/>
        <w:numPr>
          <w:ilvl w:val="2"/>
          <w:numId w:val="1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информация об исполнителях услуг, заявки которых были рассмотрены;</w:t>
      </w:r>
    </w:p>
    <w:p>
      <w:pPr>
        <w:pStyle w:val="Normal"/>
        <w:numPr>
          <w:ilvl w:val="2"/>
          <w:numId w:val="1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Normal"/>
        <w:numPr>
          <w:ilvl w:val="2"/>
          <w:numId w:val="1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Рамочное соглашение с исполнителем услуг должно содержать следующие положения: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 исполнителя услуг и уполномоченного органа;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условий и порядка предоставления гранта, а также проверки соблюдения исполнителем услуг порядка и условий в соответствии со статьями 268 1 и 269 2 Бюджетного кодекса Российской Федерации;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567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Условия и порядок предоставления грантов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bookmarkStart w:id="6" w:name="_Ref25498205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3.1.</w:t>
      </w:r>
      <w:bookmarkEnd w:id="6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Проверка на соответствие исполнителя услуг требованиям устанолвленным пунктом 2.4 настоящего Порядка производится при проведении отбора в соответствии с разделом II настоящего Порядка.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3.2 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Правилами ПФ ДОД.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3.3 Размер гранта в форме субсидии исполнителей услуг, заключивших рамочное соглашение, расчитывается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стредств из местного бюджета (заявках на перечисление средств из местного бюджета) по следующей формуле: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val="x-none" w:eastAsia="x-none"/>
        </w:rPr>
        <w:t>G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vertAlign w:val="subscript"/>
          <w:lang w:val="x-none" w:eastAsia="x-none"/>
        </w:rPr>
        <w:t xml:space="preserve">1 </w:t>
      </w:r>
      <w:r>
        <w:rPr>
          <w:rFonts w:eastAsia="Times New Roman" w:cs="Times New Roman" w:ascii="Times New Roman" w:hAnsi="Times New Roman"/>
          <w:i w:val="false"/>
          <w:iCs w:val="false"/>
          <w:position w:val="0"/>
          <w:sz w:val="28"/>
          <w:sz w:val="28"/>
          <w:szCs w:val="28"/>
          <w:vertAlign w:val="baseline"/>
          <w:lang w:val="x-none" w:eastAsia="x-none"/>
        </w:rPr>
        <w:t xml:space="preserve">= </w:t>
      </w:r>
      <w:r>
        <w:rPr>
          <w:rFonts w:eastAsia="Times New Roman" w:cs="Times New Roman" w:ascii="Times New Roman" w:hAnsi="Times New Roman"/>
          <w:i/>
          <w:iCs/>
          <w:position w:val="0"/>
          <w:sz w:val="28"/>
          <w:sz w:val="28"/>
          <w:szCs w:val="28"/>
          <w:vertAlign w:val="baseline"/>
          <w:lang w:val="x-none" w:eastAsia="x-none"/>
        </w:rPr>
        <w:t>Σ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x-none" w:eastAsia="x-none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position w:val="0"/>
          <w:sz w:val="28"/>
          <w:sz w:val="28"/>
          <w:szCs w:val="28"/>
          <w:vertAlign w:val="baseline"/>
          <w:lang w:val="x-none" w:eastAsia="x-none"/>
        </w:rPr>
        <w:t>C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vertAlign w:val="subscript"/>
          <w:lang w:val="x-none" w:eastAsia="x-none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 xml:space="preserve">x </w:t>
      </w:r>
      <w:r>
        <w:rPr>
          <w:rFonts w:eastAsia="Times New Roman" w:cs="Times New Roman" w:ascii="Times New Roman" w:hAnsi="Times New Roman"/>
          <w:i/>
          <w:iCs/>
          <w:position w:val="0"/>
          <w:sz w:val="32"/>
          <w:sz w:val="32"/>
          <w:szCs w:val="32"/>
          <w:vertAlign w:val="baseline"/>
          <w:lang w:val="x-none" w:eastAsia="x-none"/>
        </w:rPr>
        <w:t>n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vertAlign w:val="subscript"/>
          <w:lang w:val="x-none" w:eastAsia="x-none"/>
        </w:rPr>
        <w:t>1</w:t>
      </w:r>
      <w:r>
        <w:rPr>
          <w:rFonts w:eastAsia="Times New Roman" w:cs="Times New Roman" w:ascii="Times New Roman" w:hAnsi="Times New Roman"/>
          <w:sz w:val="32"/>
          <w:szCs w:val="32"/>
          <w:vertAlign w:val="subscript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>+</w:t>
      </w:r>
      <w:r>
        <w:rPr>
          <w:rFonts w:eastAsia="Times New Roman" w:cs="Times New Roman" w:ascii="Times New Roman" w:hAnsi="Times New Roman"/>
          <w:i/>
          <w:iCs/>
          <w:position w:val="0"/>
          <w:sz w:val="32"/>
          <w:sz w:val="32"/>
          <w:szCs w:val="32"/>
          <w:vertAlign w:val="baseline"/>
          <w:lang w:val="x-none" w:eastAsia="x-none"/>
        </w:rPr>
        <w:t>C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vertAlign w:val="subscript"/>
          <w:lang w:val="x-none" w:eastAsia="x-none"/>
        </w:rPr>
        <w:t>2</w:t>
      </w:r>
      <w:r>
        <w:rPr>
          <w:rFonts w:eastAsia="Times New Roman" w:cs="Times New Roman" w:ascii="Times New Roman" w:hAnsi="Times New Roman"/>
          <w:sz w:val="32"/>
          <w:szCs w:val="32"/>
          <w:vertAlign w:val="subscript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 xml:space="preserve">x </w:t>
      </w:r>
      <w:r>
        <w:rPr>
          <w:rFonts w:eastAsia="Times New Roman" w:cs="Times New Roman" w:ascii="Times New Roman" w:hAnsi="Times New Roman"/>
          <w:i/>
          <w:iCs/>
          <w:position w:val="0"/>
          <w:sz w:val="32"/>
          <w:sz w:val="32"/>
          <w:szCs w:val="32"/>
          <w:vertAlign w:val="baseline"/>
          <w:lang w:val="x-none" w:eastAsia="x-none"/>
        </w:rPr>
        <w:t>n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vertAlign w:val="subscript"/>
          <w:lang w:val="x-none" w:eastAsia="x-none"/>
        </w:rPr>
        <w:t>2</w:t>
      </w:r>
      <w:r>
        <w:rPr>
          <w:rFonts w:eastAsia="Times New Roman" w:cs="Times New Roman" w:ascii="Times New Roman" w:hAnsi="Times New Roman"/>
          <w:sz w:val="32"/>
          <w:szCs w:val="32"/>
          <w:vertAlign w:val="subscript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 xml:space="preserve">+ </w:t>
      </w:r>
      <w:r>
        <w:rPr>
          <w:rFonts w:eastAsia="Times New Roman" w:cs="Times New Roman" w:ascii="Times New Roman" w:hAnsi="Times New Roman"/>
          <w:i/>
          <w:iCs/>
          <w:position w:val="0"/>
          <w:sz w:val="32"/>
          <w:sz w:val="32"/>
          <w:szCs w:val="32"/>
          <w:vertAlign w:val="baseline"/>
          <w:lang w:val="x-none" w:eastAsia="x-none"/>
        </w:rPr>
        <w:t>C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vertAlign w:val="subscript"/>
          <w:lang w:val="x-none" w:eastAsia="x-none"/>
        </w:rPr>
        <w:t>n</w:t>
      </w:r>
      <w:r>
        <w:rPr>
          <w:rFonts w:eastAsia="Times New Roman" w:cs="Times New Roman" w:ascii="Times New Roman" w:hAnsi="Times New Roman"/>
          <w:sz w:val="32"/>
          <w:szCs w:val="32"/>
          <w:vertAlign w:val="subscript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 xml:space="preserve">x </w:t>
      </w:r>
      <w:r>
        <w:rPr>
          <w:rFonts w:eastAsia="Times New Roman" w:cs="Times New Roman" w:ascii="Times New Roman" w:hAnsi="Times New Roman"/>
          <w:i/>
          <w:iCs/>
          <w:position w:val="0"/>
          <w:sz w:val="32"/>
          <w:sz w:val="32"/>
          <w:szCs w:val="32"/>
          <w:vertAlign w:val="baseline"/>
          <w:lang w:val="x-none" w:eastAsia="x-none"/>
        </w:rPr>
        <w:t>n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vertAlign w:val="subscript"/>
          <w:lang w:val="x-none" w:eastAsia="x-none"/>
        </w:rPr>
        <w:t>n</w:t>
      </w:r>
      <w:r>
        <w:rPr>
          <w:rFonts w:eastAsia="Times New Roman" w:cs="Times New Roman" w:ascii="Times New Roman" w:hAnsi="Times New Roman"/>
          <w:position w:val="0"/>
          <w:sz w:val="32"/>
          <w:sz w:val="32"/>
          <w:szCs w:val="32"/>
          <w:vertAlign w:val="baseline"/>
          <w:lang w:val="x-none" w:eastAsia="x-none"/>
        </w:rPr>
        <w:t>)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x-none" w:eastAsia="x-none"/>
        </w:rPr>
        <w:t>, где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i/>
          <w:iCs/>
          <w:position w:val="0"/>
          <w:sz w:val="28"/>
          <w:sz w:val="28"/>
          <w:szCs w:val="28"/>
          <w:vertAlign w:val="baseline"/>
          <w:lang w:val="x-none" w:eastAsia="x-none"/>
        </w:rPr>
        <w:t>G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  <w:lang w:val="x-none" w:eastAsia="x-none"/>
        </w:rPr>
        <w:t xml:space="preserve">1 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x-none" w:eastAsia="x-none"/>
        </w:rPr>
        <w:t>– размер гранта в форме субсидии;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i/>
          <w:iCs/>
          <w:position w:val="0"/>
          <w:sz w:val="28"/>
          <w:sz w:val="28"/>
          <w:szCs w:val="28"/>
          <w:vertAlign w:val="baseline"/>
          <w:lang w:val="x-none" w:eastAsia="x-none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  <w:lang w:val="x-none" w:eastAsia="x-none"/>
        </w:rPr>
        <w:t xml:space="preserve">n 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x-none" w:eastAsia="x-none"/>
        </w:rPr>
        <w:t xml:space="preserve">– объем услуги в чел./часах;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i/>
          <w:iCs/>
          <w:position w:val="0"/>
          <w:sz w:val="28"/>
          <w:sz w:val="28"/>
          <w:szCs w:val="28"/>
          <w:vertAlign w:val="baseline"/>
          <w:lang w:val="x-none" w:eastAsia="x-none"/>
        </w:rPr>
        <w:t>n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  <w:lang w:val="x-none" w:eastAsia="x-none"/>
        </w:rPr>
        <w:t>n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x-none" w:eastAsia="x-none"/>
        </w:rPr>
        <w:t xml:space="preserve"> – нормативные затраты на оказание услуги.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3.4. 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3.5. Реестр договоров на авансирование содержит следующие сведения: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 исполнителя услуг;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месяц, на который предполагается авансирование;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идентификаторы (номера) сертификатов дополнительного образования;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реквизиты (даты и номера заключения) договоров об образовании;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объем финансовых обязательств на текущий месяц в соответствии с договорами об образовании.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3.6. 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3.7. 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3.8. </w:t>
      </w:r>
      <w:bookmarkStart w:id="7" w:name="_Ref8587839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7"/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3.9. </w:t>
      </w:r>
      <w:bookmarkStart w:id="8" w:name="_Ref8587840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8"/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3.10. Реестр договоров на оплату должен содержать следующие сведения: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 исполнителя услуг;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месяц, за который сформирован реестр;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идентификаторы (номера) сертификатов дополнительного образования;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реквизиты (даты и номера заключения) договоров об образовании;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3.11. 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  <w:bookmarkStart w:id="9" w:name="_Ref25498208"/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3.12. Выполнение действий, предусмотренных пунктом 3.4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9"/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3.13. В предоставлении гранта может быть отказано в следующих случаях: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несоответствие представленных исполнителем услуг документов требованиям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установление факта недостоверности представленной исполнителем услуг информации.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3.14. 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наименование исполнителя услуг и уполномоченного органа;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обязательство уполномоченного органа о перечислении средств местного бюджета исполнителю услуг;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заключение соглашения путем подписания исполнителем услуг соглашения в форме безотзывной оферты;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порядок и сроки перечисления гранта в форме субсидии;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порядок, формы и сроки представления отчетов;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ответственность сторон за нарушение условий соглашения.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3.15. Типовая форма соглашения о предоставлении исполнителю услуг гранта в форме субсидии (дополнительного соглашения к соглашению, в том числе дополнительного соглашения о расторжении соглашения (при необходимости) устанавливается финансовым органом муниципального образования.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3.16. Перечисление гранта в форме субсидии осуществляется в течение  5-ти рабочих дней с момента заключения соглашения о предоставлении гранта в форме субсидии на следующие счета исполнителя услуг: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x-none"/>
        </w:rPr>
      </w:pPr>
      <w:r>
        <w:rPr>
          <w:rFonts w:eastAsia="Calibri" w:cs="Times New Roman" w:ascii="Times New Roman" w:hAnsi="Times New Roman"/>
          <w:sz w:val="28"/>
          <w:szCs w:val="28"/>
          <w:lang w:val="x-none"/>
        </w:rPr>
        <w:t xml:space="preserve">расчетные счета, открытые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исполнителям услуг – 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>индивидуальным предпринимателям, юридическим лицам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(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>за исключением бюджетных (автономных) учреждений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)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 xml:space="preserve"> в российских кредитных организациях;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лицевые счета, открытые исполнителям услуг – 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лицевые счета, открытые исполнителям услуг – 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3.17. Грант в форме субсидии не может быть использован на: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капитальное строительство и инвестиции;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деятельность, запрещенную действующим законодательством.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3.18. 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м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val="x-none" w:eastAsia="x-none"/>
        </w:rPr>
        <w:t>униципальное казенное учреждение «Комитет развития образования Туапсинского района»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, досрочно расторгает соглашение с последующим возвратом гранта в форме субсидии.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Требования к отчетности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Результатом предоставления гранта является проведение образовательных мероприятий в объеме, указанном исполнителем услуг в заявках на авансирование средств из местного бюджета (заявках на перечисление средств из местного бюджета), с даты заключения рамочного соглашения в соответствии с пунктом 2.5 настоящего порядка по дату окончания действия (растордения) рамочного соглашения.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Исполнитель услуг предоставляет в уполномоченный орган: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709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5. Порядок осуществления контроля (мониторинга)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45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за соблюдением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условий и порядка предоставления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грантов и ответственности за их несоблюдение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5.1. Орган муниципального финансового контроля осуществляет проверку соблюдения условий и порядка предоставления грантов в форме субсидий их получателями, втом числе в части достижения результатов предоставления грантов в форме субсидий, а так же проверку в соответствии со статьями 268 1 и 269 2 Бюджетного кодекса Российской Федерации.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5.2. В целях соблюдения условий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подтверждение достоверности, полноты и соответствия требованиям представления отчетности;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соблюдение условий и порядка предоставления гранта в форме субсидий.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5.3. Уполномоченный орган и финансовый орган муниципального образования осуществляет мониторинг достижения результатов 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 которые установлены приказом Министерства финансов Российской Федерации от 29 сентября 2021 г.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лицам-проиводителям товаров, работ, усдуг».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 xml:space="preserve">5.4. Контроль за выполнением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</w:t>
      </w:r>
      <w:bookmarkStart w:id="10" w:name="__DdeLink__8017_3838915370"/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>уполномоченный орган</w:t>
      </w:r>
      <w:bookmarkEnd w:id="10"/>
      <w:r>
        <w:rPr>
          <w:rFonts w:eastAsia="Times New Roman" w:cs="Times New Roman" w:ascii="Times New Roman" w:hAnsi="Times New Roman"/>
          <w:sz w:val="28"/>
          <w:szCs w:val="24"/>
          <w:lang w:val="x-none" w:eastAsia="x-none"/>
        </w:rPr>
        <w:t xml:space="preserve">.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5.5. 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>6. Порядок возврата грантов в форме субсидии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6.1. Гран</w:t>
      </w:r>
      <w:bookmarkStart w:id="11" w:name="_GoBack"/>
      <w:bookmarkEnd w:id="11"/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ты в форме субсидии подлежат возврату исполнителем услуг в бюджет муниципального образования в случае нарушения порядка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6.2. За полноту и достоверность представленной информации и документов несет ответственность исполнитель услуг.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6.3. Возврат гранта в форме субсидии в бюджет муниципального образования осуществляется исполнителем услуг в течение 10-ти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Начальник управления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Туапсинский район                                                                           Г.А. Никольская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6372" w:hanging="0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lear" w:pos="4677"/>
        <w:tab w:val="clear" w:pos="9355"/>
      </w:tabs>
      <w:jc w:val="center"/>
      <w:rPr/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13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5504" w:hanging="40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32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>
    <w:lvl w:ilvl="0">
      <w:start w:val="2"/>
      <w:numFmt w:val="decimal"/>
      <w:lvlText w:val="%1"/>
      <w:lvlJc w:val="left"/>
      <w:pPr>
        <w:ind w:left="750" w:hanging="750"/>
      </w:pPr>
    </w:lvl>
    <w:lvl w:ilvl="1">
      <w:start w:val="11"/>
      <w:numFmt w:val="decimal"/>
      <w:lvlText w:val="%1.%2"/>
      <w:lvlJc w:val="left"/>
      <w:pPr>
        <w:ind w:left="1104" w:hanging="750"/>
      </w:pPr>
    </w:lvl>
    <w:lvl w:ilvl="2">
      <w:start w:val="1"/>
      <w:numFmt w:val="decimal"/>
      <w:lvlText w:val="%3)"/>
      <w:lvlJc w:val="left"/>
      <w:pPr>
        <w:ind w:left="1458" w:hanging="75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17">
    <w:lvl w:ilvl="0">
      <w:start w:val="1"/>
      <w:numFmt w:val="decimal"/>
      <w:lvlText w:val="%1."/>
      <w:lvlJc w:val="left"/>
      <w:pPr>
        <w:ind w:left="1335" w:hanging="1335"/>
      </w:pPr>
    </w:lvl>
    <w:lvl w:ilvl="1">
      <w:start w:val="1"/>
      <w:numFmt w:val="decimal"/>
      <w:lvlText w:val="%1.%2."/>
      <w:lvlJc w:val="left"/>
      <w:pPr>
        <w:ind w:left="2044" w:hanging="1335"/>
      </w:pPr>
    </w:lvl>
    <w:lvl w:ilvl="2">
      <w:start w:val="1"/>
      <w:numFmt w:val="decimal"/>
      <w:lvlText w:val="%1.%2.%3."/>
      <w:lvlJc w:val="left"/>
      <w:pPr>
        <w:ind w:left="2753" w:hanging="1335"/>
      </w:pPr>
    </w:lvl>
    <w:lvl w:ilvl="3">
      <w:start w:val="1"/>
      <w:numFmt w:val="decimal"/>
      <w:lvlText w:val="%1.%2.%3.%4."/>
      <w:lvlJc w:val="left"/>
      <w:pPr>
        <w:ind w:left="3462" w:hanging="1335"/>
      </w:pPr>
    </w:lvl>
    <w:lvl w:ilvl="4">
      <w:start w:val="1"/>
      <w:numFmt w:val="decimal"/>
      <w:lvlText w:val="%1.%2.%3.%4.%5."/>
      <w:lvlJc w:val="left"/>
      <w:pPr>
        <w:ind w:left="4171" w:hanging="133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c416c"/>
    <w:rPr/>
  </w:style>
  <w:style w:type="character" w:styleId="Pagenumber">
    <w:name w:val="page number"/>
    <w:basedOn w:val="DefaultParagraphFont"/>
    <w:qFormat/>
    <w:rsid w:val="009c416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c416c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aa27c0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rPr>
      <w:color w:val="000080"/>
      <w:u w:val="single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c41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c416c"/>
    <w:pPr>
      <w:spacing w:before="0" w:after="200"/>
      <w:ind w:left="720" w:hanging="0"/>
      <w:contextualSpacing/>
    </w:pPr>
    <w:rPr/>
  </w:style>
  <w:style w:type="paragraph" w:styleId="Style25">
    <w:name w:val="Footer"/>
    <w:basedOn w:val="Normal"/>
    <w:uiPriority w:val="99"/>
    <w:unhideWhenUsed/>
    <w:rsid w:val="009c41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aa27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LibreOffice/6.3.0.4$Linux_X86_64 LibreOffice_project/057fc023c990d676a43019934386b85b21a9ee99</Application>
  <Pages>13</Pages>
  <Words>3807</Words>
  <Characters>28431</Characters>
  <CharactersWithSpaces>32287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2021-08-20T11:09:00Z</dcterms:created>
  <dc:creator>uo75</dc:creator>
  <dc:description/>
  <dc:language>ru-RU</dc:language>
  <cp:lastModifiedBy/>
  <cp:lastPrinted>2021-08-27T10:51:00Z</cp:lastPrinted>
  <dcterms:modified xsi:type="dcterms:W3CDTF">2022-11-24T13:50:16Z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