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ind w:firstLine="0" w:left="4961"/>
      </w:pPr>
      <w:r>
        <w:t>Начальнику  управления муниципальных закупок администрации Туапсинского муниципального округа</w:t>
      </w:r>
    </w:p>
    <w:p w14:paraId="02000000">
      <w:pPr>
        <w:ind w:firstLine="0" w:left="4961"/>
      </w:pPr>
    </w:p>
    <w:p w14:paraId="03000000">
      <w:pPr>
        <w:ind w:firstLine="0" w:left="4961"/>
      </w:pPr>
      <w:r>
        <w:t>Волкову В.Г.</w:t>
      </w:r>
    </w:p>
    <w:p w14:paraId="04000000">
      <w:pPr>
        <w:ind/>
        <w:jc w:val="both"/>
        <w:rPr>
          <w:b w:val="1"/>
        </w:rPr>
      </w:pPr>
    </w:p>
    <w:p w14:paraId="05000000">
      <w:pPr>
        <w:ind/>
        <w:jc w:val="center"/>
        <w:rPr>
          <w:b w:val="1"/>
        </w:rPr>
      </w:pPr>
    </w:p>
    <w:p w14:paraId="06000000">
      <w:pPr>
        <w:ind/>
        <w:jc w:val="center"/>
        <w:rPr>
          <w:b w:val="1"/>
        </w:rPr>
      </w:pPr>
    </w:p>
    <w:p w14:paraId="07000000">
      <w:pPr>
        <w:ind/>
        <w:jc w:val="center"/>
        <w:rPr>
          <w:b w:val="1"/>
        </w:rPr>
      </w:pPr>
      <w:r>
        <w:rPr>
          <w:b w:val="1"/>
        </w:rPr>
        <w:t>Заключение</w:t>
      </w:r>
    </w:p>
    <w:p w14:paraId="08000000">
      <w:pPr>
        <w:ind/>
        <w:jc w:val="center"/>
        <w:rPr>
          <w:b w:val="0"/>
        </w:rPr>
      </w:pPr>
      <w:r>
        <w:t xml:space="preserve">по результатам экспертизы проекта постановления </w:t>
      </w:r>
    </w:p>
    <w:p w14:paraId="09000000">
      <w:pPr>
        <w:ind/>
        <w:jc w:val="center"/>
        <w:rPr>
          <w:b w:val="0"/>
        </w:rPr>
      </w:pPr>
      <w:r>
        <w:t xml:space="preserve">администрации Туапсинского муниципального округа </w:t>
      </w:r>
    </w:p>
    <w:p w14:paraId="0A000000">
      <w:pPr>
        <w:ind/>
        <w:jc w:val="center"/>
        <w:rPr>
          <w:b w:val="0"/>
        </w:rPr>
      </w:pPr>
      <w:r>
        <w:t>«</w:t>
      </w:r>
      <w:r>
        <w:rPr>
          <w:b w:val="0"/>
          <w:sz w:val="28"/>
        </w:rPr>
        <w:t xml:space="preserve">Об утверждении Положения </w:t>
      </w:r>
      <w:r>
        <w:rPr>
          <w:b w:val="0"/>
          <w:sz w:val="28"/>
        </w:rPr>
        <w:t>о контрактной службе</w:t>
      </w:r>
      <w:r>
        <w:rPr>
          <w:b w:val="0"/>
          <w:sz w:val="28"/>
        </w:rPr>
        <w:t xml:space="preserve"> администрации </w:t>
      </w:r>
      <w:r>
        <w:rPr>
          <w:b w:val="0"/>
          <w:sz w:val="28"/>
        </w:rPr>
        <w:t>Туапсинск</w:t>
      </w:r>
      <w:r>
        <w:rPr>
          <w:b w:val="0"/>
          <w:sz w:val="28"/>
        </w:rPr>
        <w:t>ого</w:t>
      </w:r>
      <w:r>
        <w:rPr>
          <w:b w:val="0"/>
          <w:sz w:val="28"/>
        </w:rPr>
        <w:t xml:space="preserve"> </w:t>
      </w:r>
      <w:r>
        <w:rPr>
          <w:b w:val="0"/>
          <w:sz w:val="28"/>
        </w:rPr>
        <w:t>муниципального округа»</w:t>
      </w:r>
      <w:r>
        <w:rPr>
          <w:b w:val="0"/>
          <w:sz w:val="28"/>
        </w:rPr>
        <w:t xml:space="preserve"> </w:t>
      </w:r>
    </w:p>
    <w:p w14:paraId="0B000000">
      <w:pPr>
        <w:ind/>
        <w:jc w:val="center"/>
        <w:rPr>
          <w:b w:val="1"/>
          <w:sz w:val="28"/>
        </w:rPr>
      </w:pPr>
    </w:p>
    <w:p w14:paraId="0C000000">
      <w:pPr>
        <w:ind/>
        <w:jc w:val="center"/>
      </w:pPr>
      <w:r>
        <w:rPr>
          <w:color w:val="000000"/>
          <w:sz w:val="28"/>
        </w:rPr>
        <w:t xml:space="preserve"> </w:t>
      </w:r>
    </w:p>
    <w:p w14:paraId="0D000000">
      <w:pPr>
        <w:ind w:firstLine="567" w:left="0"/>
        <w:jc w:val="both"/>
        <w:rPr>
          <w:color w:val="000000"/>
        </w:rPr>
      </w:pPr>
      <w:r>
        <w:t xml:space="preserve">Правовое управление администрации Туапсинского муниципального округа Краснодарского края,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муниципальный округ Краснодарского края, рассмотрев проект постановления администрации муниципального образования Туапсинский муниципальный округ </w:t>
      </w:r>
      <w:r>
        <w:t>«</w:t>
      </w:r>
      <w:r>
        <w:rPr>
          <w:b w:val="0"/>
          <w:sz w:val="28"/>
        </w:rPr>
        <w:t xml:space="preserve">Об утверждении Положения </w:t>
      </w:r>
      <w:r>
        <w:rPr>
          <w:b w:val="0"/>
          <w:sz w:val="28"/>
        </w:rPr>
        <w:t>о контрактной службе</w:t>
      </w:r>
      <w:r>
        <w:rPr>
          <w:b w:val="0"/>
          <w:sz w:val="28"/>
        </w:rPr>
        <w:t xml:space="preserve"> администрации </w:t>
      </w:r>
      <w:r>
        <w:rPr>
          <w:b w:val="0"/>
          <w:sz w:val="28"/>
        </w:rPr>
        <w:t>Туапсинск</w:t>
      </w:r>
      <w:r>
        <w:rPr>
          <w:b w:val="0"/>
          <w:sz w:val="28"/>
        </w:rPr>
        <w:t>ого</w:t>
      </w:r>
      <w:r>
        <w:rPr>
          <w:b w:val="0"/>
          <w:sz w:val="28"/>
        </w:rPr>
        <w:t xml:space="preserve"> </w:t>
      </w:r>
      <w:r>
        <w:rPr>
          <w:b w:val="0"/>
          <w:sz w:val="28"/>
        </w:rPr>
        <w:t>муниципального округа</w:t>
      </w:r>
      <w:r>
        <w:t>»</w:t>
      </w:r>
      <w:bookmarkStart w:id="1" w:name="_GoBack"/>
      <w:bookmarkEnd w:id="1"/>
      <w:r>
        <w:rPr>
          <w:b w:val="1"/>
        </w:rPr>
        <w:t xml:space="preserve">, </w:t>
      </w:r>
      <w:r>
        <w:t>поступивший из  управления муниципальных закупок администрации Туапсинского муниципального округа установил:</w:t>
      </w:r>
    </w:p>
    <w:p w14:paraId="0E000000">
      <w:pPr>
        <w:ind w:firstLine="567" w:left="0"/>
        <w:jc w:val="both"/>
      </w:pPr>
      <w:r>
        <w:t>1. 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14:paraId="0F000000">
      <w:pPr>
        <w:ind w:firstLine="567" w:left="0"/>
        <w:jc w:val="both"/>
      </w:pPr>
      <w:r>
        <w:rPr>
          <w:color w:val="000000"/>
          <w:sz w:val="28"/>
        </w:rPr>
        <w:t>статьей 38</w:t>
      </w:r>
      <w:r>
        <w:rPr>
          <w:color w:val="000000"/>
          <w:sz w:val="28"/>
        </w:rPr>
        <w:t xml:space="preserve"> Федеральн</w:t>
      </w:r>
      <w:r>
        <w:rPr>
          <w:color w:val="000000"/>
          <w:sz w:val="28"/>
        </w:rPr>
        <w:t>ого</w:t>
      </w:r>
      <w:r>
        <w:rPr>
          <w:color w:val="000000"/>
          <w:sz w:val="28"/>
        </w:rPr>
        <w:t xml:space="preserve"> закон</w:t>
      </w:r>
      <w:r>
        <w:rPr>
          <w:color w:val="000000"/>
          <w:sz w:val="28"/>
        </w:rPr>
        <w:t>а</w:t>
      </w:r>
      <w:r>
        <w:rPr>
          <w:color w:val="000000"/>
          <w:sz w:val="28"/>
        </w:rPr>
        <w:t xml:space="preserve"> </w:t>
      </w:r>
      <w:r>
        <w:rPr>
          <w:color w:val="000000"/>
          <w:sz w:val="28"/>
        </w:rPr>
        <w:t>от 05 апреля 2013 г</w:t>
      </w:r>
      <w:r>
        <w:rPr>
          <w:color w:val="000000"/>
          <w:sz w:val="28"/>
        </w:rPr>
        <w:t>.</w:t>
      </w:r>
      <w:r>
        <w:rPr>
          <w:color w:val="000000"/>
          <w:sz w:val="28"/>
        </w:rPr>
        <w:t xml:space="preserve"> </w:t>
      </w:r>
      <w:r>
        <w:rPr>
          <w:color w:val="000000"/>
          <w:sz w:val="28"/>
        </w:rPr>
        <w:t xml:space="preserve"> </w:t>
      </w:r>
      <w:r>
        <w:rPr>
          <w:color w:val="000000"/>
          <w:sz w:val="28"/>
        </w:rPr>
        <w:t>№ 44-ФЗ                  «О контрактной системе в сфере закупок товаров, работ, услуг для обеспечения государственных и муниципальных нужд»</w:t>
      </w:r>
      <w:r>
        <w:rPr>
          <w:sz w:val="28"/>
        </w:rPr>
        <w:t>,</w:t>
      </w:r>
      <w:r>
        <w:rPr>
          <w:sz w:val="28"/>
        </w:rPr>
        <w:t xml:space="preserve"> Законом Краснодарского края от 8 февраля 2024 г. № 5070-КЗ «О преобразовании поселений, входящих в состав муниципального образования Туапсинский район, путем их объединения и о наделении вновь образованного муниципального образования статусом муниципального округа»</w:t>
      </w:r>
      <w:r>
        <w:rPr>
          <w:sz w:val="28"/>
        </w:rPr>
        <w:t xml:space="preserve">, </w:t>
      </w:r>
      <w:r>
        <w:rPr>
          <w:sz w:val="28"/>
        </w:rPr>
        <w:t>а также на основании приказа Министерства финансов Российской Федерации от  31 июля 2020 г. № 158н «Об утверждении Типового положения (регламента) о контрактной службе»</w:t>
      </w:r>
      <w:r>
        <w:t>.</w:t>
      </w:r>
    </w:p>
    <w:p w14:paraId="10000000">
      <w:pPr>
        <w:ind w:firstLine="567" w:left="0"/>
        <w:jc w:val="both"/>
      </w:pPr>
      <w:r>
        <w:t xml:space="preserve">2. Проект нормативного правового акта размещен на сайте администрации </w:t>
      </w:r>
      <w:r>
        <w:t>Туапсинского муниципального округа</w:t>
      </w:r>
      <w:r>
        <w:rPr>
          <w:color w:val="000000"/>
        </w:rPr>
        <w:t xml:space="preserve"> </w:t>
      </w:r>
      <w:r>
        <w:rPr>
          <w:rStyle w:val="Style_1_ch"/>
        </w:rPr>
        <w:fldChar w:fldCharType="begin"/>
      </w:r>
      <w:r>
        <w:rPr>
          <w:rStyle w:val="Style_1_ch"/>
        </w:rPr>
        <w:instrText>HYPERLINK "http://www.tuapseregion.ru/"</w:instrText>
      </w:r>
      <w:r>
        <w:rPr>
          <w:rStyle w:val="Style_1_ch"/>
        </w:rPr>
        <w:fldChar w:fldCharType="separate"/>
      </w:r>
      <w:r>
        <w:rPr>
          <w:rStyle w:val="Style_1_ch"/>
        </w:rPr>
        <w:t>www</w:t>
      </w:r>
      <w:r>
        <w:rPr>
          <w:rStyle w:val="Style_1_ch"/>
        </w:rPr>
        <w:t>.</w:t>
      </w:r>
      <w:r>
        <w:rPr>
          <w:rStyle w:val="Style_1_ch"/>
        </w:rPr>
        <w:t>tuapseregion</w:t>
      </w:r>
      <w:r>
        <w:rPr>
          <w:rStyle w:val="Style_1_ch"/>
        </w:rPr>
        <w:t>.</w:t>
      </w:r>
      <w:r>
        <w:rPr>
          <w:rStyle w:val="Style_1_ch"/>
        </w:rPr>
        <w:t>ru</w:t>
      </w:r>
      <w:r>
        <w:rPr>
          <w:rStyle w:val="Style_1_ch"/>
        </w:rPr>
        <w:fldChar w:fldCharType="end"/>
      </w:r>
      <w:r>
        <w:rPr>
          <w:color w:val="000000"/>
        </w:rPr>
        <w:t xml:space="preserve">, в разделе «Документы», подразделе «Антикоррупционная экспертиза нормативных правовых актов (проектов)» </w:t>
      </w:r>
      <w:r>
        <w:t xml:space="preserve">для проведения независимой антикоррупционной экспертизы. </w:t>
      </w:r>
    </w:p>
    <w:p w14:paraId="11000000">
      <w:pPr>
        <w:ind w:firstLine="567" w:left="0"/>
        <w:jc w:val="both"/>
      </w:pPr>
      <w:r>
        <w:t>3. В ходе антикоррупционной экспертизы проекта нормативного правового акта коррупциогенные факторы не обнаружены.</w:t>
      </w:r>
    </w:p>
    <w:p w14:paraId="12000000">
      <w:pPr>
        <w:ind w:firstLine="567" w:left="0"/>
        <w:jc w:val="both"/>
      </w:pPr>
      <w:r>
        <w:t>4. Проект нормативного правового акта может быть рекомендован для официального принятия.</w:t>
      </w:r>
    </w:p>
    <w:p w14:paraId="13000000"/>
    <w:p w14:paraId="14000000"/>
    <w:p w14:paraId="15000000">
      <w:r>
        <w:t>Исполняющий</w:t>
      </w:r>
      <w:r>
        <w:t xml:space="preserve"> обязанности начальника</w:t>
      </w:r>
    </w:p>
    <w:p w14:paraId="16000000">
      <w:r>
        <w:t>правового управления администрации</w:t>
      </w:r>
    </w:p>
    <w:p w14:paraId="17000000">
      <w:r>
        <w:t>Туапсинского муниципального округа                                               М.А.</w:t>
      </w:r>
      <w:r>
        <w:t xml:space="preserve"> </w:t>
      </w:r>
      <w:r>
        <w:t>Синенко</w:t>
      </w:r>
    </w:p>
    <w:p w14:paraId="18000000"/>
    <w:sectPr>
      <w:pgSz w:h="16838" w:orient="portrait" w:w="11906"/>
      <w:pgMar w:bottom="1134" w:footer="709" w:gutter="0" w:header="709" w:left="1701" w:right="567"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200" w:before="0" w:line="276"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pPr>
      <w:spacing w:after="0" w:line="240" w:lineRule="auto"/>
      <w:ind/>
    </w:pPr>
    <w:rPr>
      <w:rFonts w:ascii="Times New Roman" w:hAnsi="Times New Roman"/>
      <w:sz w:val="28"/>
    </w:rPr>
  </w:style>
  <w:style w:default="1" w:styleId="Style_2_ch" w:type="character">
    <w:name w:val="Normal"/>
    <w:link w:val="Style_2"/>
    <w:rPr>
      <w:rFonts w:ascii="Times New Roman" w:hAnsi="Times New Roman"/>
      <w:sz w:val="28"/>
    </w:rPr>
  </w:style>
  <w:style w:styleId="Style_3" w:type="paragraph">
    <w:name w:val="Balloon Text"/>
    <w:basedOn w:val="Style_2"/>
    <w:link w:val="Style_3_ch"/>
    <w:rPr>
      <w:rFonts w:ascii="Tahoma" w:hAnsi="Tahoma"/>
      <w:sz w:val="16"/>
    </w:rPr>
  </w:style>
  <w:style w:styleId="Style_3_ch" w:type="character">
    <w:name w:val="Balloon Text"/>
    <w:basedOn w:val="Style_2_ch"/>
    <w:link w:val="Style_3"/>
    <w:rPr>
      <w:rFonts w:ascii="Tahoma" w:hAnsi="Tahoma"/>
      <w:sz w:val="16"/>
    </w:rPr>
  </w:style>
  <w:style w:styleId="Style_4" w:type="paragraph">
    <w:name w:val="toc 2"/>
    <w:next w:val="Style_2"/>
    <w:link w:val="Style_4_ch"/>
    <w:uiPriority w:val="39"/>
    <w:pPr>
      <w:ind w:firstLine="0" w:left="200"/>
      <w:jc w:val="left"/>
    </w:pPr>
    <w:rPr>
      <w:rFonts w:ascii="XO Thames" w:hAnsi="XO Thames"/>
      <w:sz w:val="28"/>
    </w:rPr>
  </w:style>
  <w:style w:styleId="Style_4_ch" w:type="character">
    <w:name w:val="toc 2"/>
    <w:link w:val="Style_4"/>
    <w:rPr>
      <w:rFonts w:ascii="XO Thames" w:hAnsi="XO Thames"/>
      <w:sz w:val="28"/>
    </w:rPr>
  </w:style>
  <w:style w:styleId="Style_5" w:type="paragraph">
    <w:name w:val="toc 4"/>
    <w:next w:val="Style_2"/>
    <w:link w:val="Style_5_ch"/>
    <w:uiPriority w:val="39"/>
    <w:pPr>
      <w:ind w:firstLine="0" w:left="600"/>
      <w:jc w:val="left"/>
    </w:pPr>
    <w:rPr>
      <w:rFonts w:ascii="XO Thames" w:hAnsi="XO Thames"/>
      <w:sz w:val="28"/>
    </w:rPr>
  </w:style>
  <w:style w:styleId="Style_5_ch" w:type="character">
    <w:name w:val="toc 4"/>
    <w:link w:val="Style_5"/>
    <w:rPr>
      <w:rFonts w:ascii="XO Thames" w:hAnsi="XO Thames"/>
      <w:sz w:val="28"/>
    </w:rPr>
  </w:style>
  <w:style w:styleId="Style_6" w:type="paragraph">
    <w:name w:val="toc 6"/>
    <w:next w:val="Style_2"/>
    <w:link w:val="Style_6_ch"/>
    <w:uiPriority w:val="39"/>
    <w:pPr>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2"/>
    <w:link w:val="Style_7_ch"/>
    <w:uiPriority w:val="39"/>
    <w:pPr>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Strong"/>
    <w:link w:val="Style_8_ch"/>
    <w:rPr>
      <w:rFonts w:ascii="Times New Roman" w:hAnsi="Times New Roman"/>
      <w:b w:val="1"/>
    </w:rPr>
  </w:style>
  <w:style w:styleId="Style_8_ch" w:type="character">
    <w:name w:val="Strong"/>
    <w:link w:val="Style_8"/>
    <w:rPr>
      <w:rFonts w:ascii="Times New Roman" w:hAnsi="Times New Roman"/>
      <w:b w:val="1"/>
    </w:rPr>
  </w:style>
  <w:style w:styleId="Style_9" w:type="paragraph">
    <w:name w:val="Normal (Web)"/>
    <w:basedOn w:val="Style_2"/>
    <w:link w:val="Style_9_ch"/>
    <w:rPr>
      <w:sz w:val="24"/>
    </w:rPr>
  </w:style>
  <w:style w:styleId="Style_9_ch" w:type="character">
    <w:name w:val="Normal (Web)"/>
    <w:basedOn w:val="Style_2_ch"/>
    <w:link w:val="Style_9"/>
    <w:rPr>
      <w:sz w:val="24"/>
    </w:rPr>
  </w:style>
  <w:style w:styleId="Style_10" w:type="paragraph">
    <w:name w:val="Endnote"/>
    <w:link w:val="Style_10_ch"/>
    <w:pPr>
      <w:ind w:firstLine="851" w:left="0"/>
      <w:jc w:val="both"/>
    </w:pPr>
    <w:rPr>
      <w:rFonts w:ascii="XO Thames" w:hAnsi="XO Thames"/>
      <w:sz w:val="22"/>
    </w:rPr>
  </w:style>
  <w:style w:styleId="Style_10_ch" w:type="character">
    <w:name w:val="Endnote"/>
    <w:link w:val="Style_10"/>
    <w:rPr>
      <w:rFonts w:ascii="XO Thames" w:hAnsi="XO Thames"/>
      <w:sz w:val="22"/>
    </w:rPr>
  </w:style>
  <w:style w:styleId="Style_11" w:type="paragraph">
    <w:name w:val="heading 3"/>
    <w:next w:val="Style_2"/>
    <w:link w:val="Style_11_ch"/>
    <w:uiPriority w:val="9"/>
    <w:qFormat/>
    <w:pPr>
      <w:spacing w:after="120" w:before="120"/>
      <w:ind/>
      <w:jc w:val="both"/>
      <w:outlineLvl w:val="2"/>
    </w:pPr>
    <w:rPr>
      <w:rFonts w:ascii="XO Thames" w:hAnsi="XO Thames"/>
      <w:b w:val="1"/>
      <w:sz w:val="26"/>
    </w:rPr>
  </w:style>
  <w:style w:styleId="Style_11_ch" w:type="character">
    <w:name w:val="heading 3"/>
    <w:link w:val="Style_11"/>
    <w:rPr>
      <w:rFonts w:ascii="XO Thames" w:hAnsi="XO Thames"/>
      <w:b w:val="1"/>
      <w:sz w:val="26"/>
    </w:rPr>
  </w:style>
  <w:style w:styleId="Style_12" w:type="paragraph">
    <w:name w:val="ConsPlusNormal"/>
    <w:link w:val="Style_12_ch"/>
    <w:pPr>
      <w:widowControl w:val="0"/>
      <w:spacing w:after="0" w:line="240" w:lineRule="auto"/>
      <w:ind/>
    </w:pPr>
    <w:rPr>
      <w:rFonts w:ascii="Calibri" w:hAnsi="Calibri"/>
    </w:rPr>
  </w:style>
  <w:style w:styleId="Style_12_ch" w:type="character">
    <w:name w:val="ConsPlusNormal"/>
    <w:link w:val="Style_12"/>
    <w:rPr>
      <w:rFonts w:ascii="Calibri" w:hAnsi="Calibri"/>
    </w:rPr>
  </w:style>
  <w:style w:styleId="Style_13" w:type="paragraph">
    <w:name w:val="toc 3"/>
    <w:next w:val="Style_2"/>
    <w:link w:val="Style_13_ch"/>
    <w:uiPriority w:val="39"/>
    <w:pPr>
      <w:ind w:firstLine="0" w:left="400"/>
      <w:jc w:val="left"/>
    </w:pPr>
    <w:rPr>
      <w:rFonts w:ascii="XO Thames" w:hAnsi="XO Thames"/>
      <w:sz w:val="28"/>
    </w:rPr>
  </w:style>
  <w:style w:styleId="Style_13_ch" w:type="character">
    <w:name w:val="toc 3"/>
    <w:link w:val="Style_13"/>
    <w:rPr>
      <w:rFonts w:ascii="XO Thames" w:hAnsi="XO Thames"/>
      <w:sz w:val="28"/>
    </w:rPr>
  </w:style>
  <w:style w:styleId="Style_14" w:type="paragraph">
    <w:name w:val="heading 5"/>
    <w:next w:val="Style_2"/>
    <w:link w:val="Style_14_ch"/>
    <w:uiPriority w:val="9"/>
    <w:qFormat/>
    <w:pPr>
      <w:spacing w:after="120" w:before="120"/>
      <w:ind/>
      <w:jc w:val="both"/>
      <w:outlineLvl w:val="4"/>
    </w:pPr>
    <w:rPr>
      <w:rFonts w:ascii="XO Thames" w:hAnsi="XO Thames"/>
      <w:b w:val="1"/>
      <w:sz w:val="22"/>
    </w:rPr>
  </w:style>
  <w:style w:styleId="Style_14_ch" w:type="character">
    <w:name w:val="heading 5"/>
    <w:link w:val="Style_14"/>
    <w:rPr>
      <w:rFonts w:ascii="XO Thames" w:hAnsi="XO Thames"/>
      <w:b w:val="1"/>
      <w:sz w:val="22"/>
    </w:rPr>
  </w:style>
  <w:style w:styleId="Style_15" w:type="paragraph">
    <w:name w:val="heading 1"/>
    <w:next w:val="Style_2"/>
    <w:link w:val="Style_15_ch"/>
    <w:uiPriority w:val="9"/>
    <w:qFormat/>
    <w:pPr>
      <w:spacing w:after="120" w:before="120"/>
      <w:ind/>
      <w:jc w:val="both"/>
      <w:outlineLvl w:val="0"/>
    </w:pPr>
    <w:rPr>
      <w:rFonts w:ascii="XO Thames" w:hAnsi="XO Thames"/>
      <w:b w:val="1"/>
      <w:sz w:val="32"/>
    </w:rPr>
  </w:style>
  <w:style w:styleId="Style_15_ch" w:type="character">
    <w:name w:val="heading 1"/>
    <w:link w:val="Style_15"/>
    <w:rPr>
      <w:rFonts w:ascii="XO Thames" w:hAnsi="XO Thames"/>
      <w:b w:val="1"/>
      <w:sz w:val="32"/>
    </w:rPr>
  </w:style>
  <w:style w:styleId="Style_1" w:type="paragraph">
    <w:name w:val="Hyperlink"/>
    <w:basedOn w:val="Style_16"/>
    <w:link w:val="Style_1_ch"/>
    <w:rPr>
      <w:color w:val="0000FF"/>
      <w:u w:val="single"/>
    </w:rPr>
  </w:style>
  <w:style w:styleId="Style_1_ch" w:type="character">
    <w:name w:val="Hyperlink"/>
    <w:basedOn w:val="Style_16_ch"/>
    <w:link w:val="Style_1"/>
    <w:rPr>
      <w:color w:val="0000FF"/>
      <w:u w:val="single"/>
    </w:rPr>
  </w:style>
  <w:style w:styleId="Style_17" w:type="paragraph">
    <w:name w:val="Footnote"/>
    <w:link w:val="Style_17_ch"/>
    <w:pPr>
      <w:ind w:firstLine="851" w:left="0"/>
      <w:jc w:val="both"/>
    </w:pPr>
    <w:rPr>
      <w:rFonts w:ascii="XO Thames" w:hAnsi="XO Thames"/>
      <w:sz w:val="22"/>
    </w:rPr>
  </w:style>
  <w:style w:styleId="Style_17_ch" w:type="character">
    <w:name w:val="Footnote"/>
    <w:link w:val="Style_17"/>
    <w:rPr>
      <w:rFonts w:ascii="XO Thames" w:hAnsi="XO Thames"/>
      <w:sz w:val="22"/>
    </w:rPr>
  </w:style>
  <w:style w:styleId="Style_18" w:type="paragraph">
    <w:name w:val="toc 1"/>
    <w:next w:val="Style_2"/>
    <w:link w:val="Style_18_ch"/>
    <w:uiPriority w:val="39"/>
    <w:pPr>
      <w:ind w:firstLine="0" w:left="0"/>
      <w:jc w:val="left"/>
    </w:pPr>
    <w:rPr>
      <w:rFonts w:ascii="XO Thames" w:hAnsi="XO Thames"/>
      <w:b w:val="1"/>
      <w:sz w:val="28"/>
    </w:rPr>
  </w:style>
  <w:style w:styleId="Style_18_ch" w:type="character">
    <w:name w:val="toc 1"/>
    <w:link w:val="Style_18"/>
    <w:rPr>
      <w:rFonts w:ascii="XO Thames" w:hAnsi="XO Thames"/>
      <w:b w:val="1"/>
      <w:sz w:val="28"/>
    </w:rPr>
  </w:style>
  <w:style w:styleId="Style_16" w:type="paragraph">
    <w:name w:val="Default Paragraph Font"/>
    <w:link w:val="Style_16_ch"/>
  </w:style>
  <w:style w:styleId="Style_16_ch" w:type="character">
    <w:name w:val="Default Paragraph Font"/>
    <w:link w:val="Style_16"/>
  </w:style>
  <w:style w:styleId="Style_19" w:type="paragraph">
    <w:name w:val="Header and Footer"/>
    <w:link w:val="Style_19_ch"/>
    <w:pPr>
      <w:spacing w:line="240" w:lineRule="auto"/>
      <w:ind/>
      <w:jc w:val="both"/>
    </w:pPr>
    <w:rPr>
      <w:rFonts w:ascii="XO Thames" w:hAnsi="XO Thames"/>
      <w:sz w:val="28"/>
    </w:rPr>
  </w:style>
  <w:style w:styleId="Style_19_ch" w:type="character">
    <w:name w:val="Header and Footer"/>
    <w:link w:val="Style_19"/>
    <w:rPr>
      <w:rFonts w:ascii="XO Thames" w:hAnsi="XO Thames"/>
      <w:sz w:val="28"/>
    </w:rPr>
  </w:style>
  <w:style w:styleId="Style_20" w:type="paragraph">
    <w:name w:val="toc 9"/>
    <w:next w:val="Style_2"/>
    <w:link w:val="Style_20_ch"/>
    <w:uiPriority w:val="39"/>
    <w:pPr>
      <w:ind w:firstLine="0" w:left="1600"/>
      <w:jc w:val="left"/>
    </w:pPr>
    <w:rPr>
      <w:rFonts w:ascii="XO Thames" w:hAnsi="XO Thames"/>
      <w:sz w:val="28"/>
    </w:rPr>
  </w:style>
  <w:style w:styleId="Style_20_ch" w:type="character">
    <w:name w:val="toc 9"/>
    <w:link w:val="Style_20"/>
    <w:rPr>
      <w:rFonts w:ascii="XO Thames" w:hAnsi="XO Thames"/>
      <w:sz w:val="28"/>
    </w:rPr>
  </w:style>
  <w:style w:styleId="Style_21" w:type="paragraph">
    <w:name w:val="toc 8"/>
    <w:next w:val="Style_2"/>
    <w:link w:val="Style_21_ch"/>
    <w:uiPriority w:val="39"/>
    <w:pPr>
      <w:ind w:firstLine="0" w:left="1400"/>
      <w:jc w:val="left"/>
    </w:pPr>
    <w:rPr>
      <w:rFonts w:ascii="XO Thames" w:hAnsi="XO Thames"/>
      <w:sz w:val="28"/>
    </w:rPr>
  </w:style>
  <w:style w:styleId="Style_21_ch" w:type="character">
    <w:name w:val="toc 8"/>
    <w:link w:val="Style_21"/>
    <w:rPr>
      <w:rFonts w:ascii="XO Thames" w:hAnsi="XO Thames"/>
      <w:sz w:val="28"/>
    </w:rPr>
  </w:style>
  <w:style w:styleId="Style_22" w:type="paragraph">
    <w:name w:val="toc 5"/>
    <w:next w:val="Style_2"/>
    <w:link w:val="Style_22_ch"/>
    <w:uiPriority w:val="39"/>
    <w:pPr>
      <w:ind w:firstLine="0" w:left="800"/>
      <w:jc w:val="left"/>
    </w:pPr>
    <w:rPr>
      <w:rFonts w:ascii="XO Thames" w:hAnsi="XO Thames"/>
      <w:sz w:val="28"/>
    </w:rPr>
  </w:style>
  <w:style w:styleId="Style_22_ch" w:type="character">
    <w:name w:val="toc 5"/>
    <w:link w:val="Style_22"/>
    <w:rPr>
      <w:rFonts w:ascii="XO Thames" w:hAnsi="XO Thames"/>
      <w:sz w:val="28"/>
    </w:rPr>
  </w:style>
  <w:style w:styleId="Style_23" w:type="paragraph">
    <w:name w:val="Subtitle"/>
    <w:next w:val="Style_2"/>
    <w:link w:val="Style_23_ch"/>
    <w:uiPriority w:val="11"/>
    <w:qFormat/>
    <w:pPr>
      <w:ind/>
      <w:jc w:val="both"/>
    </w:pPr>
    <w:rPr>
      <w:rFonts w:ascii="XO Thames" w:hAnsi="XO Thames"/>
      <w:i w:val="1"/>
      <w:sz w:val="24"/>
    </w:rPr>
  </w:style>
  <w:style w:styleId="Style_23_ch" w:type="character">
    <w:name w:val="Subtitle"/>
    <w:link w:val="Style_23"/>
    <w:rPr>
      <w:rFonts w:ascii="XO Thames" w:hAnsi="XO Thames"/>
      <w:i w:val="1"/>
      <w:sz w:val="24"/>
    </w:rPr>
  </w:style>
  <w:style w:styleId="Style_24" w:type="paragraph">
    <w:name w:val="Title"/>
    <w:next w:val="Style_2"/>
    <w:link w:val="Style_24_ch"/>
    <w:uiPriority w:val="10"/>
    <w:qFormat/>
    <w:pPr>
      <w:spacing w:after="567" w:before="567"/>
      <w:ind/>
      <w:jc w:val="center"/>
    </w:pPr>
    <w:rPr>
      <w:rFonts w:ascii="XO Thames" w:hAnsi="XO Thames"/>
      <w:b w:val="1"/>
      <w:caps w:val="1"/>
      <w:sz w:val="40"/>
    </w:rPr>
  </w:style>
  <w:style w:styleId="Style_24_ch" w:type="character">
    <w:name w:val="Title"/>
    <w:link w:val="Style_24"/>
    <w:rPr>
      <w:rFonts w:ascii="XO Thames" w:hAnsi="XO Thames"/>
      <w:b w:val="1"/>
      <w:caps w:val="1"/>
      <w:sz w:val="40"/>
    </w:rPr>
  </w:style>
  <w:style w:styleId="Style_25" w:type="paragraph">
    <w:name w:val="heading 4"/>
    <w:next w:val="Style_2"/>
    <w:link w:val="Style_25_ch"/>
    <w:uiPriority w:val="9"/>
    <w:qFormat/>
    <w:pPr>
      <w:spacing w:after="120" w:before="120"/>
      <w:ind/>
      <w:jc w:val="both"/>
      <w:outlineLvl w:val="3"/>
    </w:pPr>
    <w:rPr>
      <w:rFonts w:ascii="XO Thames" w:hAnsi="XO Thames"/>
      <w:b w:val="1"/>
      <w:sz w:val="24"/>
    </w:rPr>
  </w:style>
  <w:style w:styleId="Style_25_ch" w:type="character">
    <w:name w:val="heading 4"/>
    <w:link w:val="Style_25"/>
    <w:rPr>
      <w:rFonts w:ascii="XO Thames" w:hAnsi="XO Thames"/>
      <w:b w:val="1"/>
      <w:sz w:val="24"/>
    </w:rPr>
  </w:style>
  <w:style w:styleId="Style_26" w:type="paragraph">
    <w:name w:val="heading 2"/>
    <w:next w:val="Style_2"/>
    <w:link w:val="Style_26_ch"/>
    <w:uiPriority w:val="9"/>
    <w:qFormat/>
    <w:pPr>
      <w:spacing w:after="120" w:before="120"/>
      <w:ind/>
      <w:jc w:val="both"/>
      <w:outlineLvl w:val="1"/>
    </w:pPr>
    <w:rPr>
      <w:rFonts w:ascii="XO Thames" w:hAnsi="XO Thames"/>
      <w:b w:val="1"/>
      <w:sz w:val="28"/>
    </w:rPr>
  </w:style>
  <w:style w:styleId="Style_26_ch" w:type="character">
    <w:name w:val="heading 2"/>
    <w:link w:val="Style_26"/>
    <w:rPr>
      <w:rFonts w:ascii="XO Thames" w:hAnsi="XO Thames"/>
      <w:b w:val="1"/>
      <w:sz w:val="28"/>
    </w:rPr>
  </w:style>
  <w:style w:default="1" w:styleId="Style_27" w:type="table">
    <w:name w:val="Normal Table"/>
    <w:tblPr>
      <w:tblInd w:type="dxa" w:w="0"/>
      <w:tblCellMar>
        <w:top w:type="dxa" w:w="0"/>
        <w:left w:type="dxa" w:w="108"/>
        <w:bottom w:type="dxa" w:w="0"/>
        <w:right w:type="dxa" w:w="108"/>
      </w:tblCellMar>
    </w:tblPr>
  </w:style>
  <w:style w:styleId="Style_28" w:type="table">
    <w:name w:val="Table Grid"/>
    <w:basedOn w:val="Style_27"/>
    <w:pPr>
      <w:spacing w:after="0" w:line="240" w:lineRule="auto"/>
      <w:ind/>
    </w:pPr>
    <w:rPr>
      <w:rFonts w:ascii="Times New Roman" w:hAnsi="Times New Roman"/>
      <w:sz w:val="20"/>
    </w:rPr>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MyOffice-CoreFramework-Linux/32-1208.815.9166.836.1@c028b4579ab889516ede6e689f46f6dad43bf900</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2025-03-03T11:48:55Z</dcterms:modified>
</cp:coreProperties>
</file>