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ntTable.xml" ContentType="application/vnd.openxmlformats-officedocument.wordprocessingml.fontTable+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jc w:val="both"/>
        <w:rPr/>
      </w:pPr>
      <w:r>
        <w:rPr/>
      </w:r>
    </w:p>
    <w:p>
      <w:pPr>
        <w:pStyle w:val="ConsPlusNormal"/>
        <w:jc w:val="both"/>
        <w:rPr/>
      </w:pPr>
      <w:r>
        <w:rPr/>
      </w:r>
    </w:p>
    <w:p>
      <w:pPr>
        <w:pStyle w:val="ConsPlusNormal"/>
        <w:jc w:val="both"/>
        <w:rPr/>
      </w:pPr>
      <w:r>
        <w:rPr/>
      </w:r>
    </w:p>
    <w:p>
      <w:pPr>
        <w:pStyle w:val="ConsPlus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ConsPlusNormal"/>
        <w:jc w:val="center"/>
        <w:rPr>
          <w:rFonts w:ascii="Times New Roman" w:hAnsi="Times New Roman" w:cs="Times New Roman"/>
          <w:b/>
          <w:b/>
          <w:bCs/>
        </w:rPr>
      </w:pPr>
      <w:r>
        <w:rPr>
          <w:rFonts w:cs="Times New Roman" w:ascii="Times New Roman" w:hAnsi="Times New Roman"/>
          <w:b/>
          <w:bCs/>
        </w:rPr>
      </w:r>
    </w:p>
    <w:tbl>
      <w:tblPr>
        <w:tblStyle w:val="a3"/>
        <w:tblW w:w="9571" w:type="dxa"/>
        <w:jc w:val="left"/>
        <w:tblInd w:w="0" w:type="dxa"/>
        <w:tblCellMar>
          <w:top w:w="0" w:type="dxa"/>
          <w:left w:w="108" w:type="dxa"/>
          <w:bottom w:w="0" w:type="dxa"/>
          <w:right w:w="108" w:type="dxa"/>
        </w:tblCellMar>
        <w:tblLook w:val="04a0" w:noVBand="1" w:noHBand="0" w:firstRow="1" w:lastRow="0" w:firstColumn="1" w:lastColumn="0"/>
      </w:tblPr>
      <w:tblGrid>
        <w:gridCol w:w="9571"/>
      </w:tblGrid>
      <w:tr>
        <w:trPr/>
        <w:tc>
          <w:tcPr>
            <w:tcW w:w="9571" w:type="dxa"/>
            <w:tcBorders/>
            <w:shd w:fill="auto" w:val="clear"/>
          </w:tcPr>
          <w:p>
            <w:pPr>
              <w:pStyle w:val="ConsPlusNonformat"/>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 xml:space="preserve">Перечень вопросов </w:t>
            </w:r>
          </w:p>
          <w:p>
            <w:pPr>
              <w:pStyle w:val="ConsPlusNonformat"/>
              <w:spacing w:lineRule="auto" w:line="240" w:before="0" w:after="0"/>
              <w:jc w:val="center"/>
              <w:rPr/>
            </w:pPr>
            <w:bookmarkStart w:id="0" w:name="_GoBack"/>
            <w:bookmarkEnd w:id="0"/>
            <w:r>
              <w:rPr>
                <w:rFonts w:cs="Times New Roman" w:ascii="Times New Roman" w:hAnsi="Times New Roman"/>
                <w:sz w:val="28"/>
                <w:szCs w:val="28"/>
              </w:rPr>
              <w:t xml:space="preserve">для проведения публичных консультаций по  </w:t>
            </w:r>
          </w:p>
          <w:p>
            <w:pPr>
              <w:pStyle w:val="ConsPlusNonformat"/>
              <w:spacing w:lineRule="auto" w:line="240" w:before="0" w:after="0"/>
              <w:jc w:val="center"/>
              <w:rPr/>
            </w:pPr>
            <w:r>
              <w:rPr>
                <w:rFonts w:cs="Times New Roman" w:ascii="Times New Roman" w:hAnsi="Times New Roman"/>
                <w:sz w:val="28"/>
                <w:szCs w:val="28"/>
              </w:rPr>
              <w:t xml:space="preserve">проекту </w:t>
            </w:r>
            <w:r>
              <w:rPr>
                <w:rFonts w:eastAsia="Times New Roman" w:cs="Times New Roman" w:ascii="Times New Roman" w:hAnsi="Times New Roman"/>
                <w:sz w:val="28"/>
                <w:szCs w:val="28"/>
                <w:lang w:eastAsia="ru-RU"/>
              </w:rPr>
              <w:t>постановления</w:t>
            </w:r>
            <w:r>
              <w:rPr>
                <w:rFonts w:cs="Times New Roman" w:ascii="Times New Roman" w:hAnsi="Times New Roman"/>
                <w:sz w:val="28"/>
                <w:szCs w:val="28"/>
              </w:rPr>
              <w:t xml:space="preserve"> «</w:t>
            </w:r>
            <w:r>
              <w:rPr>
                <w:rFonts w:cs="Times New Roman" w:ascii="Times New Roman" w:hAnsi="Times New Roman"/>
                <w:b w:val="false"/>
                <w:bCs w:val="false"/>
                <w:sz w:val="28"/>
                <w:szCs w:val="28"/>
                <w:lang w:val="ru-RU"/>
              </w:rPr>
              <w:t xml:space="preserve">Об установлении порядка оплаты заинтересованными лицами расходов, связанных с организацией и проведением публичных слушаний по отдельным вопросам </w:t>
            </w:r>
            <w:bookmarkStart w:id="1" w:name="__DdeLink__990_3450360648"/>
            <w:r>
              <w:rPr>
                <w:rFonts w:cs="Times New Roman" w:ascii="Times New Roman" w:hAnsi="Times New Roman"/>
                <w:b w:val="false"/>
                <w:bCs w:val="false"/>
                <w:sz w:val="28"/>
                <w:szCs w:val="28"/>
                <w:lang w:val="ru-RU"/>
              </w:rPr>
              <w:t>градостроительной деятельности</w:t>
            </w:r>
            <w:bookmarkEnd w:id="1"/>
            <w:r>
              <w:rPr>
                <w:rFonts w:eastAsia="Times New Roman" w:cs="Times New Roman" w:ascii="Times New Roman" w:hAnsi="Times New Roman"/>
                <w:b w:val="false"/>
                <w:bCs w:val="false"/>
                <w:color w:val="auto"/>
                <w:kern w:val="0"/>
                <w:sz w:val="28"/>
                <w:szCs w:val="28"/>
                <w:lang w:val="ru-RU" w:eastAsia="ru-RU" w:bidi="ar-SA"/>
              </w:rPr>
              <w:t>»</w:t>
            </w:r>
          </w:p>
          <w:p>
            <w:pPr>
              <w:pStyle w:val="ConsPlusNonformat"/>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ConsPlusNonformat"/>
              <w:spacing w:lineRule="auto" w:line="240" w:before="0" w:after="0"/>
              <w:ind w:firstLine="709"/>
              <w:jc w:val="both"/>
              <w:rPr/>
            </w:pPr>
            <w:r>
              <w:rPr>
                <w:rFonts w:cs="Times New Roman" w:ascii="Times New Roman" w:hAnsi="Times New Roman"/>
                <w:sz w:val="28"/>
                <w:szCs w:val="28"/>
              </w:rPr>
              <w:t xml:space="preserve">Пожалуйста, заполните и направьте данную форму по электронной почте на адрес: </w:t>
            </w:r>
            <w:hyperlink r:id="rId2">
              <w:r>
                <w:rPr>
                  <w:rStyle w:val="Style17"/>
                  <w:rFonts w:cs="Times New Roman" w:ascii="Times New Roman" w:hAnsi="Times New Roman"/>
                  <w:sz w:val="28"/>
                  <w:szCs w:val="28"/>
                  <w:lang w:val="en-US"/>
                </w:rPr>
                <w:t>ecotuapregion</w:t>
              </w:r>
              <w:r>
                <w:rPr>
                  <w:rStyle w:val="Style17"/>
                  <w:rFonts w:cs="Times New Roman" w:ascii="Times New Roman" w:hAnsi="Times New Roman"/>
                  <w:sz w:val="28"/>
                  <w:szCs w:val="28"/>
                </w:rPr>
                <w:t>@</w:t>
              </w:r>
              <w:r>
                <w:rPr>
                  <w:rStyle w:val="Style17"/>
                  <w:rFonts w:cs="Times New Roman" w:ascii="Times New Roman" w:hAnsi="Times New Roman"/>
                  <w:sz w:val="28"/>
                  <w:szCs w:val="28"/>
                  <w:lang w:val="en-US"/>
                </w:rPr>
                <w:t>mail</w:t>
              </w:r>
              <w:r>
                <w:rPr>
                  <w:rStyle w:val="Style17"/>
                  <w:rFonts w:cs="Times New Roman" w:ascii="Times New Roman" w:hAnsi="Times New Roman"/>
                  <w:sz w:val="28"/>
                  <w:szCs w:val="28"/>
                </w:rPr>
                <w:t>.</w:t>
              </w:r>
              <w:r>
                <w:rPr>
                  <w:rStyle w:val="Style17"/>
                  <w:rFonts w:cs="Times New Roman" w:ascii="Times New Roman" w:hAnsi="Times New Roman"/>
                  <w:sz w:val="28"/>
                  <w:szCs w:val="28"/>
                  <w:lang w:val="en-US"/>
                </w:rPr>
                <w:t>ru</w:t>
              </w:r>
            </w:hyperlink>
            <w:r>
              <w:rPr>
                <w:rFonts w:cs="Times New Roman" w:ascii="Times New Roman" w:hAnsi="Times New Roman"/>
                <w:sz w:val="28"/>
                <w:szCs w:val="28"/>
              </w:rPr>
              <w:t xml:space="preserve">, с пометкой для </w:t>
            </w:r>
            <w:r>
              <w:rPr>
                <w:rFonts w:eastAsia="Times New Roman" w:cs="Times New Roman" w:ascii="Times New Roman" w:hAnsi="Times New Roman"/>
                <w:sz w:val="28"/>
                <w:szCs w:val="28"/>
                <w:lang w:eastAsia="ru-RU"/>
              </w:rPr>
              <w:t>Кириллова</w:t>
            </w:r>
            <w:r>
              <w:rPr>
                <w:rFonts w:cs="Times New Roman" w:ascii="Times New Roman" w:hAnsi="Times New Roman"/>
                <w:sz w:val="28"/>
                <w:szCs w:val="28"/>
              </w:rPr>
              <w:t xml:space="preserve"> </w:t>
            </w:r>
            <w:r>
              <w:rPr>
                <w:rFonts w:eastAsia="Times New Roman" w:cs="Times New Roman" w:ascii="Times New Roman" w:hAnsi="Times New Roman"/>
                <w:sz w:val="28"/>
                <w:szCs w:val="28"/>
                <w:lang w:eastAsia="ru-RU"/>
              </w:rPr>
              <w:t>Вячеслава</w:t>
            </w:r>
            <w:r>
              <w:rPr>
                <w:rFonts w:cs="Times New Roman" w:ascii="Times New Roman" w:hAnsi="Times New Roman"/>
                <w:sz w:val="28"/>
                <w:szCs w:val="28"/>
              </w:rPr>
              <w:t xml:space="preserve"> </w:t>
            </w:r>
            <w:r>
              <w:rPr>
                <w:rFonts w:eastAsia="Times New Roman" w:cs="Times New Roman" w:ascii="Times New Roman" w:hAnsi="Times New Roman"/>
                <w:sz w:val="28"/>
                <w:szCs w:val="28"/>
                <w:lang w:eastAsia="ru-RU"/>
              </w:rPr>
              <w:t>Александро</w:t>
            </w:r>
            <w:r>
              <w:rPr>
                <w:rFonts w:cs="Times New Roman" w:ascii="Times New Roman" w:hAnsi="Times New Roman"/>
                <w:sz w:val="28"/>
                <w:szCs w:val="28"/>
              </w:rPr>
              <w:t>вича.</w:t>
            </w:r>
          </w:p>
          <w:p>
            <w:pPr>
              <w:pStyle w:val="ConsPlusNonformat"/>
              <w:spacing w:lineRule="auto" w:line="240" w:before="0" w:after="0"/>
              <w:ind w:firstLine="709"/>
              <w:jc w:val="both"/>
              <w:rPr/>
            </w:pPr>
            <w:r>
              <w:rPr>
                <w:rFonts w:cs="Times New Roman" w:ascii="Times New Roman" w:hAnsi="Times New Roman"/>
                <w:sz w:val="28"/>
                <w:szCs w:val="28"/>
              </w:rPr>
              <w:t>Замечания  и  (или)</w:t>
            </w:r>
            <w:bookmarkStart w:id="2" w:name="_GoBack1"/>
            <w:bookmarkEnd w:id="2"/>
            <w:r>
              <w:rPr>
                <w:rFonts w:cs="Times New Roman" w:ascii="Times New Roman" w:hAnsi="Times New Roman"/>
                <w:sz w:val="28"/>
                <w:szCs w:val="28"/>
              </w:rPr>
              <w:t xml:space="preserve">  предложения,  направленные после  указанного  срока,  а  также  направленные  не  в  соответствии  с настоящей формой, рассмотрению не подлежат.</w:t>
            </w:r>
          </w:p>
        </w:tc>
      </w:tr>
    </w:tbl>
    <w:p>
      <w:pPr>
        <w:pStyle w:val="ConsPlusNormal"/>
        <w:jc w:val="both"/>
        <w:rPr/>
      </w:pPr>
      <w:r>
        <w:rPr/>
      </w:r>
    </w:p>
    <w:tbl>
      <w:tblPr>
        <w:tblStyle w:val="a3"/>
        <w:tblW w:w="9571" w:type="dxa"/>
        <w:jc w:val="center"/>
        <w:tblInd w:w="0" w:type="dxa"/>
        <w:tblCellMar>
          <w:top w:w="0" w:type="dxa"/>
          <w:left w:w="108" w:type="dxa"/>
          <w:bottom w:w="0" w:type="dxa"/>
          <w:right w:w="108" w:type="dxa"/>
        </w:tblCellMar>
        <w:tblLook w:val="04a0" w:noVBand="1" w:noHBand="0" w:lastColumn="0" w:firstColumn="1" w:lastRow="0" w:firstRow="1"/>
      </w:tblPr>
      <w:tblGrid>
        <w:gridCol w:w="9571"/>
      </w:tblGrid>
      <w:tr>
        <w:trPr/>
        <w:tc>
          <w:tcPr>
            <w:tcW w:w="9571" w:type="dxa"/>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t>Контактная информация:</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наименование организации</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сфера деятельности организации</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Ф.И.О. контактного лица</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номер контактного телефона</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адрес электронной почты</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bl>
    <w:p>
      <w:pPr>
        <w:pStyle w:val="ConsPlusNormal"/>
        <w:jc w:val="both"/>
        <w:rPr/>
      </w:pPr>
      <w:r>
        <w:rPr/>
      </w:r>
    </w:p>
    <w:tbl>
      <w:tblPr>
        <w:tblStyle w:val="a3"/>
        <w:tblW w:w="9571" w:type="dxa"/>
        <w:jc w:val="left"/>
        <w:tblInd w:w="0" w:type="dxa"/>
        <w:tblCellMar>
          <w:top w:w="0" w:type="dxa"/>
          <w:left w:w="108" w:type="dxa"/>
          <w:bottom w:w="0" w:type="dxa"/>
          <w:right w:w="108" w:type="dxa"/>
        </w:tblCellMar>
        <w:tblLook w:val="04a0" w:noVBand="1" w:noHBand="0" w:lastColumn="0" w:firstColumn="1" w:lastRow="0" w:firstRow="1"/>
      </w:tblPr>
      <w:tblGrid>
        <w:gridCol w:w="9571"/>
      </w:tblGrid>
      <w:tr>
        <w:trPr/>
        <w:tc>
          <w:tcPr>
            <w:tcW w:w="9571" w:type="dxa"/>
            <w:tcBorders/>
            <w:shd w:fill="auto" w:val="clear"/>
          </w:tcPr>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Туапсинский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имеются ли технические ошибки;</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инвестиционной деятельности;</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создает ли исполнение положений проекта муниципального нормативного правового акта существенные риски ведения предпринимательской и инвестиционной деятельности, способствует ли возникновению необоснованных прав органов местного самоуправления муниципального образования Туапсинский район и должностных лиц, допускает ли возможность избирательного применения норм;</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правового регулирования.</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Отдельно укажите временные издержки,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Предусмотрен ли в нем механизм защиты прав хозяйствующих субъектов?</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w:t>
            </w:r>
          </w:p>
          <w:p>
            <w:pPr>
              <w:pStyle w:val="ConsPlusNormal"/>
              <w:spacing w:lineRule="auto" w:line="240" w:before="0" w:after="0"/>
              <w:jc w:val="both"/>
              <w:rPr/>
            </w:pPr>
            <w:r>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pPr>
                  <w:r>
                    <w:rPr/>
                  </w:r>
                </w:p>
              </w:tc>
            </w:tr>
          </w:tbl>
          <w:p>
            <w:pPr>
              <w:pStyle w:val="ConsPlusNormal"/>
              <w:spacing w:lineRule="auto" w:line="240" w:before="0" w:after="0"/>
              <w:jc w:val="both"/>
              <w:rPr/>
            </w:pPr>
            <w:r>
              <w:rPr/>
            </w:r>
          </w:p>
          <w:p>
            <w:pPr>
              <w:pStyle w:val="ConsPlusNormal"/>
              <w:spacing w:lineRule="auto" w:line="240" w:before="0" w:after="0"/>
              <w:jc w:val="both"/>
              <w:rPr/>
            </w:pPr>
            <w:r>
              <w:rPr/>
            </w:r>
          </w:p>
        </w:tc>
      </w:tr>
    </w:tbl>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jc w:val="both"/>
        <w:rPr/>
      </w:pPr>
      <w:r>
        <w:rPr>
          <w:rFonts w:eastAsia="Times New Roman" w:cs="Times New Roman" w:ascii="Times New Roman" w:hAnsi="Times New Roman"/>
          <w:color w:val="auto"/>
          <w:kern w:val="0"/>
          <w:sz w:val="28"/>
          <w:szCs w:val="28"/>
          <w:lang w:val="ru-RU" w:eastAsia="ru-RU" w:bidi="ar-SA"/>
        </w:rPr>
        <w:t>Н</w:t>
      </w:r>
      <w:r>
        <w:rPr>
          <w:rFonts w:cs="Times New Roman" w:ascii="Times New Roman" w:hAnsi="Times New Roman"/>
          <w:sz w:val="28"/>
          <w:szCs w:val="28"/>
        </w:rPr>
        <w:t>ачальник управления экономического</w:t>
      </w:r>
    </w:p>
    <w:p>
      <w:pPr>
        <w:pStyle w:val="ConsPlusNormal"/>
        <w:jc w:val="both"/>
        <w:rPr>
          <w:rFonts w:ascii="Times New Roman" w:hAnsi="Times New Roman" w:cs="Times New Roman"/>
          <w:sz w:val="28"/>
          <w:szCs w:val="28"/>
        </w:rPr>
      </w:pPr>
      <w:r>
        <w:rPr>
          <w:rFonts w:cs="Times New Roman" w:ascii="Times New Roman" w:hAnsi="Times New Roman"/>
          <w:sz w:val="28"/>
          <w:szCs w:val="28"/>
        </w:rPr>
        <w:t>развития администрации муниципального</w:t>
      </w:r>
    </w:p>
    <w:p>
      <w:pPr>
        <w:pStyle w:val="ConsPlusNormal"/>
        <w:jc w:val="both"/>
        <w:rPr/>
      </w:pPr>
      <w:r>
        <w:rPr>
          <w:rFonts w:cs="Times New Roman" w:ascii="Times New Roman" w:hAnsi="Times New Roman"/>
          <w:sz w:val="28"/>
          <w:szCs w:val="28"/>
        </w:rPr>
        <w:t xml:space="preserve">образования Туапсинский район                                                          </w:t>
      </w:r>
      <w:r>
        <w:rPr>
          <w:rFonts w:eastAsia="Times New Roman" w:cs="Times New Roman" w:ascii="Times New Roman" w:hAnsi="Times New Roman"/>
          <w:color w:val="auto"/>
          <w:kern w:val="0"/>
          <w:sz w:val="28"/>
          <w:szCs w:val="28"/>
          <w:lang w:val="ru-RU" w:eastAsia="ru-RU" w:bidi="ar-SA"/>
        </w:rPr>
        <w:t>Д</w:t>
      </w:r>
      <w:r>
        <w:rPr>
          <w:rFonts w:cs="Times New Roman" w:ascii="Times New Roman" w:hAnsi="Times New Roman"/>
          <w:sz w:val="28"/>
          <w:szCs w:val="28"/>
        </w:rPr>
        <w:t>.</w:t>
      </w:r>
      <w:r>
        <w:rPr>
          <w:rFonts w:eastAsia="Times New Roman" w:cs="Times New Roman" w:ascii="Times New Roman" w:hAnsi="Times New Roman"/>
          <w:color w:val="auto"/>
          <w:kern w:val="0"/>
          <w:sz w:val="28"/>
          <w:szCs w:val="28"/>
          <w:lang w:val="ru-RU" w:eastAsia="ru-RU" w:bidi="ar-SA"/>
        </w:rPr>
        <w:t>Е</w:t>
      </w:r>
      <w:r>
        <w:rPr>
          <w:rFonts w:cs="Times New Roman" w:ascii="Times New Roman" w:hAnsi="Times New Roman"/>
          <w:sz w:val="28"/>
          <w:szCs w:val="28"/>
        </w:rPr>
        <w:t xml:space="preserve">. </w:t>
      </w:r>
      <w:r>
        <w:rPr>
          <w:rFonts w:eastAsia="Times New Roman" w:cs="Times New Roman" w:ascii="Times New Roman" w:hAnsi="Times New Roman"/>
          <w:color w:val="auto"/>
          <w:kern w:val="0"/>
          <w:sz w:val="28"/>
          <w:szCs w:val="28"/>
          <w:lang w:val="ru-RU" w:eastAsia="ru-RU" w:bidi="ar-SA"/>
        </w:rPr>
        <w:t>Яйли</w:t>
      </w:r>
    </w:p>
    <w:p>
      <w:pPr>
        <w:pStyle w:val="ConsPlusNormal"/>
        <w:jc w:val="both"/>
        <w:rPr/>
      </w:pPr>
      <w:r>
        <w:rPr/>
      </w:r>
    </w:p>
    <w:p>
      <w:pPr>
        <w:pStyle w:val="Normal"/>
        <w:widowControl/>
        <w:bidi w:val="0"/>
        <w:spacing w:lineRule="auto" w:line="276" w:before="0" w:after="200"/>
        <w:jc w:val="left"/>
        <w:rPr/>
      </w:pPr>
      <w:r>
        <w:rPr/>
      </w:r>
    </w:p>
    <w:sectPr>
      <w:headerReference w:type="default" r:id="rId3"/>
      <w:type w:val="nextPage"/>
      <w:pgSz w:w="11906" w:h="16838"/>
      <w:pgMar w:left="1701" w:right="850" w:header="708" w:top="1134" w:footer="0"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 w:name="Courier New">
    <w:charset w:val="01"/>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56084240"/>
    </w:sdtPr>
    <w:sdtContent>
      <w:p>
        <w:pPr>
          <w:pStyle w:val="Style24"/>
          <w:jc w:val="center"/>
          <w:rPr/>
        </w:pPr>
        <w:r>
          <w:rPr>
            <w:rFonts w:ascii="Times New Roman" w:hAnsi="Times New Roman"/>
            <w:sz w:val="28"/>
            <w:szCs w:val="28"/>
          </w:rPr>
          <w:fldChar w:fldCharType="begin"/>
        </w:r>
        <w:r>
          <w:rPr>
            <w:sz w:val="28"/>
            <w:szCs w:val="28"/>
            <w:rFonts w:ascii="Times New Roman" w:hAnsi="Times New Roman"/>
          </w:rPr>
          <w:instrText> PAGE </w:instrText>
        </w:r>
        <w:r>
          <w:rPr>
            <w:sz w:val="28"/>
            <w:szCs w:val="28"/>
            <w:rFonts w:ascii="Times New Roman" w:hAnsi="Times New Roman"/>
          </w:rPr>
          <w:fldChar w:fldCharType="separate"/>
        </w:r>
        <w:r>
          <w:rPr>
            <w:sz w:val="28"/>
            <w:szCs w:val="28"/>
            <w:rFonts w:ascii="Times New Roman" w:hAnsi="Times New Roman"/>
          </w:rPr>
          <w:t>5</w:t>
        </w:r>
        <w:r>
          <w:rPr>
            <w:sz w:val="28"/>
            <w:szCs w:val="28"/>
            <w:rFonts w:ascii="Times New Roman" w:hAnsi="Times New Roman"/>
          </w:rPr>
          <w:fldChar w:fldCharType="end"/>
        </w:r>
      </w:p>
    </w:sdtContent>
  </w:sdt>
  <w:p>
    <w:pPr>
      <w:pStyle w:val="Style24"/>
      <w:rPr/>
    </w:pPr>
    <w:r>
      <w:rPr/>
    </w:r>
  </w:p>
</w:hdr>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e3383"/>
    <w:pPr>
      <w:widowControl/>
      <w:bidi w:val="0"/>
      <w:spacing w:lineRule="auto" w:line="276" w:before="0" w:after="200"/>
      <w:jc w:val="left"/>
    </w:pPr>
    <w:rPr>
      <w:rFonts w:ascii="Calibri" w:hAnsi="Calibri" w:eastAsia="Times New Roman" w:cs="Times New Roman" w:asciiTheme="minorHAnsi"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a4"/>
    <w:uiPriority w:val="99"/>
    <w:qFormat/>
    <w:rsid w:val="006e36aa"/>
    <w:rPr>
      <w:rFonts w:ascii="Calibri" w:hAnsi="Calibri" w:eastAsia="Times New Roman" w:cs="Times New Roman"/>
      <w:lang w:eastAsia="ru-RU"/>
    </w:rPr>
  </w:style>
  <w:style w:type="character" w:styleId="Style15" w:customStyle="1">
    <w:name w:val="Нижний колонтитул Знак"/>
    <w:basedOn w:val="DefaultParagraphFont"/>
    <w:link w:val="a6"/>
    <w:uiPriority w:val="99"/>
    <w:qFormat/>
    <w:rsid w:val="006e36aa"/>
    <w:rPr>
      <w:rFonts w:ascii="Calibri" w:hAnsi="Calibri" w:eastAsia="Times New Roman" w:cs="Times New Roman"/>
      <w:lang w:eastAsia="ru-RU"/>
    </w:rPr>
  </w:style>
  <w:style w:type="character" w:styleId="Style16" w:customStyle="1">
    <w:name w:val="Текст выноски Знак"/>
    <w:basedOn w:val="DefaultParagraphFont"/>
    <w:link w:val="a8"/>
    <w:uiPriority w:val="99"/>
    <w:semiHidden/>
    <w:qFormat/>
    <w:rsid w:val="008e24a9"/>
    <w:rPr>
      <w:rFonts w:ascii="Tahoma" w:hAnsi="Tahoma" w:eastAsia="Times New Roman" w:cs="Tahoma"/>
      <w:sz w:val="16"/>
      <w:szCs w:val="16"/>
      <w:lang w:eastAsia="ru-RU"/>
    </w:rPr>
  </w:style>
  <w:style w:type="character" w:styleId="Style17">
    <w:name w:val="Интернет-ссылка"/>
    <w:rPr>
      <w:color w:val="000080"/>
      <w:u w:val="single"/>
      <w:lang w:val="zxx" w:eastAsia="zxx" w:bidi="zxx"/>
    </w:rPr>
  </w:style>
  <w:style w:type="paragraph" w:styleId="Style18">
    <w:name w:val="Заголовок"/>
    <w:basedOn w:val="Normal"/>
    <w:next w:val="Style19"/>
    <w:qFormat/>
    <w:pPr>
      <w:keepNext w:val="true"/>
      <w:spacing w:before="240" w:after="120"/>
    </w:pPr>
    <w:rPr>
      <w:rFonts w:ascii="Liberation Sans" w:hAnsi="Liberation Sans" w:eastAsia="Droid Sans Fallback" w:cs="Droid Sans Devanagari"/>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Droid Sans Devanagari"/>
    </w:rPr>
  </w:style>
  <w:style w:type="paragraph" w:styleId="Style21">
    <w:name w:val="Caption"/>
    <w:basedOn w:val="Normal"/>
    <w:qFormat/>
    <w:pPr>
      <w:suppressLineNumbers/>
      <w:spacing w:before="120" w:after="120"/>
    </w:pPr>
    <w:rPr>
      <w:rFonts w:cs="Droid Sans Devanagari"/>
      <w:i/>
      <w:iCs/>
      <w:sz w:val="24"/>
      <w:szCs w:val="24"/>
    </w:rPr>
  </w:style>
  <w:style w:type="paragraph" w:styleId="Style22">
    <w:name w:val="Указатель"/>
    <w:basedOn w:val="Normal"/>
    <w:qFormat/>
    <w:pPr>
      <w:suppressLineNumbers/>
    </w:pPr>
    <w:rPr>
      <w:rFonts w:cs="Droid Sans Devanagari"/>
    </w:rPr>
  </w:style>
  <w:style w:type="paragraph" w:styleId="ConsPlusNormal" w:customStyle="1">
    <w:name w:val="ConsPlusNormal"/>
    <w:qFormat/>
    <w:rsid w:val="009e3383"/>
    <w:pPr>
      <w:widowControl w:val="false"/>
      <w:bidi w:val="0"/>
      <w:spacing w:lineRule="auto" w:line="240" w:before="0" w:after="0"/>
      <w:jc w:val="left"/>
    </w:pPr>
    <w:rPr>
      <w:rFonts w:ascii="Arial" w:hAnsi="Arial" w:eastAsia="Times New Roman" w:cs="Arial"/>
      <w:color w:val="auto"/>
      <w:kern w:val="0"/>
      <w:sz w:val="20"/>
      <w:szCs w:val="20"/>
      <w:lang w:val="ru-RU" w:eastAsia="ru-RU" w:bidi="ar-SA"/>
    </w:rPr>
  </w:style>
  <w:style w:type="paragraph" w:styleId="ConsPlusNonformat" w:customStyle="1">
    <w:name w:val="ConsPlusNonformat"/>
    <w:uiPriority w:val="99"/>
    <w:qFormat/>
    <w:rsid w:val="009e3383"/>
    <w:pPr>
      <w:widowControl w:val="fals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Style23">
    <w:name w:val="Верхний и нижний колонтитулы"/>
    <w:basedOn w:val="Normal"/>
    <w:qFormat/>
    <w:pPr/>
    <w:rPr/>
  </w:style>
  <w:style w:type="paragraph" w:styleId="Style24">
    <w:name w:val="Header"/>
    <w:basedOn w:val="Normal"/>
    <w:link w:val="a5"/>
    <w:uiPriority w:val="99"/>
    <w:unhideWhenUsed/>
    <w:rsid w:val="006e36aa"/>
    <w:pPr>
      <w:tabs>
        <w:tab w:val="clear" w:pos="708"/>
        <w:tab w:val="center" w:pos="4677" w:leader="none"/>
        <w:tab w:val="right" w:pos="9355" w:leader="none"/>
      </w:tabs>
      <w:spacing w:lineRule="auto" w:line="240" w:before="0" w:after="0"/>
    </w:pPr>
    <w:rPr/>
  </w:style>
  <w:style w:type="paragraph" w:styleId="Style25">
    <w:name w:val="Footer"/>
    <w:basedOn w:val="Normal"/>
    <w:link w:val="a7"/>
    <w:uiPriority w:val="99"/>
    <w:unhideWhenUsed/>
    <w:rsid w:val="006e36aa"/>
    <w:pPr>
      <w:tabs>
        <w:tab w:val="clear" w:pos="708"/>
        <w:tab w:val="center" w:pos="4677" w:leader="none"/>
        <w:tab w:val="right" w:pos="9355" w:leader="none"/>
      </w:tabs>
      <w:spacing w:lineRule="auto" w:line="240" w:before="0" w:after="0"/>
    </w:pPr>
    <w:rPr/>
  </w:style>
  <w:style w:type="paragraph" w:styleId="BalloonText">
    <w:name w:val="Balloon Text"/>
    <w:basedOn w:val="Normal"/>
    <w:link w:val="a9"/>
    <w:uiPriority w:val="99"/>
    <w:semiHidden/>
    <w:unhideWhenUsed/>
    <w:qFormat/>
    <w:rsid w:val="008e24a9"/>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3">
    <w:name w:val="Table Grid"/>
    <w:basedOn w:val="a1"/>
    <w:uiPriority w:val="59"/>
    <w:rsid w:val="009e3383"/>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cotuapregion@mail.ru"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6DC5612-F455-4CE8-B0EF-71B8C1DAA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LibreOffice/6.3.0.4$Linux_X86_64 LibreOffice_project/057fc023c990d676a43019934386b85b21a9ee99</Application>
  <Pages>5</Pages>
  <Words>812</Words>
  <Characters>6551</Characters>
  <CharactersWithSpaces>7390</CharactersWithSpaces>
  <Paragraphs>46</Paragraphs>
  <Company>Администрация МО Туапсинский район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2018-09-05T11:20:00Z</dcterms:created>
  <dc:creator>Фидяева Екатерина</dc:creator>
  <dc:description/>
  <dc:language>ru-RU</dc:language>
  <cp:lastModifiedBy/>
  <cp:lastPrinted>2017-11-27T08:44:00Z</cp:lastPrinted>
  <dcterms:modified xsi:type="dcterms:W3CDTF">2021-08-19T09:27:36Z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Администрация МО Туапсинский район</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