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ind w:firstLine="0" w:left="4961"/>
      </w:pPr>
      <w:r>
        <w:t xml:space="preserve">Начальнику управления </w:t>
      </w:r>
    </w:p>
    <w:p w14:paraId="02000000">
      <w:pPr>
        <w:ind w:firstLine="0" w:left="4961"/>
      </w:pPr>
      <w:r>
        <w:t>внутренней политики администрации Туапсинского муниципального округа</w:t>
      </w:r>
    </w:p>
    <w:p w14:paraId="03000000">
      <w:pPr>
        <w:ind w:firstLine="0" w:left="4961"/>
      </w:pPr>
    </w:p>
    <w:p w14:paraId="04000000">
      <w:pPr>
        <w:ind w:firstLine="0" w:left="4961"/>
      </w:pPr>
      <w:r>
        <w:t>Куприянову А.А.</w:t>
      </w:r>
    </w:p>
    <w:p w14:paraId="05000000">
      <w:pPr>
        <w:ind/>
        <w:jc w:val="both"/>
        <w:rPr>
          <w:b w:val="1"/>
        </w:rPr>
      </w:pPr>
    </w:p>
    <w:p w14:paraId="06000000">
      <w:pPr>
        <w:ind/>
        <w:jc w:val="center"/>
        <w:rPr>
          <w:b w:val="1"/>
        </w:rPr>
      </w:pPr>
    </w:p>
    <w:p w14:paraId="07000000">
      <w:pPr>
        <w:ind/>
        <w:jc w:val="center"/>
        <w:rPr>
          <w:b w:val="1"/>
        </w:rPr>
      </w:pPr>
    </w:p>
    <w:p w14:paraId="08000000">
      <w:pPr>
        <w:ind/>
        <w:jc w:val="center"/>
        <w:rPr>
          <w:b w:val="1"/>
        </w:rPr>
      </w:pPr>
      <w:r>
        <w:rPr>
          <w:b w:val="1"/>
        </w:rPr>
        <w:t>Заключение</w:t>
      </w:r>
    </w:p>
    <w:p w14:paraId="09000000">
      <w:pPr>
        <w:ind/>
        <w:jc w:val="center"/>
        <w:rPr>
          <w:b w:val="0"/>
        </w:rPr>
      </w:pPr>
      <w:r>
        <w:t xml:space="preserve">по результатам экспертизы проекта постановления администрации Туапсинского муниципального округа </w:t>
      </w:r>
      <w:r>
        <w:t>«</w:t>
      </w:r>
      <w:r>
        <w:rPr>
          <w:b w:val="0"/>
          <w:sz w:val="28"/>
        </w:rPr>
        <w:t>Об  утверждении</w:t>
      </w:r>
      <w:r>
        <w:rPr>
          <w:b w:val="0"/>
          <w:sz w:val="28"/>
        </w:rPr>
        <w:t xml:space="preserve"> </w:t>
      </w:r>
      <w:r>
        <w:rPr>
          <w:b w:val="0"/>
          <w:sz w:val="28"/>
        </w:rPr>
        <w:t>Порядка</w:t>
      </w:r>
    </w:p>
    <w:p w14:paraId="0A000000">
      <w:pPr>
        <w:ind/>
        <w:jc w:val="center"/>
      </w:pPr>
      <w:r>
        <w:rPr>
          <w:b w:val="0"/>
          <w:sz w:val="28"/>
        </w:rPr>
        <w:t>предоставления субсидий социально ориентированным некоммерческим организациям, не являющимся государственными (муниципальными) учреждениями, реализующим социально значимые проекты на территории Туа</w:t>
      </w:r>
      <w:r>
        <w:rPr>
          <w:b w:val="0"/>
          <w:sz w:val="28"/>
        </w:rPr>
        <w:t xml:space="preserve">псинского муниципального округа </w:t>
      </w:r>
      <w:r>
        <w:rPr>
          <w:b w:val="0"/>
          <w:sz w:val="28"/>
        </w:rPr>
        <w:t>по отдельным направлениям деятельности</w:t>
      </w:r>
      <w:r>
        <w:rPr>
          <w:b w:val="0"/>
        </w:rPr>
        <w:t>»</w:t>
      </w:r>
    </w:p>
    <w:p w14:paraId="0B000000">
      <w:pPr>
        <w:ind w:hanging="900" w:left="900"/>
        <w:jc w:val="center"/>
        <w:rPr>
          <w:b w:val="1"/>
        </w:rPr>
      </w:pPr>
    </w:p>
    <w:p w14:paraId="0C000000">
      <w:pPr>
        <w:ind/>
        <w:jc w:val="center"/>
        <w:rPr>
          <w:b w:val="1"/>
        </w:rPr>
      </w:pPr>
    </w:p>
    <w:p w14:paraId="0D000000">
      <w:pPr>
        <w:ind w:firstLine="567" w:left="0"/>
        <w:jc w:val="both"/>
        <w:rPr>
          <w:color w:val="000000"/>
        </w:rPr>
      </w:pPr>
      <w:r>
        <w:t xml:space="preserve">Правовое управление администрации Туапсинского муниципального округа Краснодарского края,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муниципальный округ Краснодарского края, рассмотрев проект постановления администрации муниципального образования Туапсинский муниципальный округ Краснодарского края </w:t>
      </w:r>
      <w:r>
        <w:t>«</w:t>
      </w:r>
      <w:r>
        <w:rPr>
          <w:b w:val="0"/>
          <w:sz w:val="28"/>
        </w:rPr>
        <w:t>Об  утверждении</w:t>
      </w:r>
      <w:r>
        <w:rPr>
          <w:b w:val="0"/>
          <w:sz w:val="28"/>
        </w:rPr>
        <w:t xml:space="preserve"> </w:t>
      </w:r>
      <w:r>
        <w:rPr>
          <w:b w:val="0"/>
          <w:sz w:val="28"/>
        </w:rPr>
        <w:t xml:space="preserve">Порядка </w:t>
      </w:r>
      <w:r>
        <w:rPr>
          <w:b w:val="0"/>
          <w:sz w:val="28"/>
        </w:rPr>
        <w:t>предоставления субсидий социально ориентированным некоммерческим организациям, не являющимся государственными (муниципальными) учреждениями, реализующим социально значимые проекты на территории Туа</w:t>
      </w:r>
      <w:r>
        <w:rPr>
          <w:b w:val="0"/>
          <w:sz w:val="28"/>
        </w:rPr>
        <w:t xml:space="preserve">псинского муниципального округа </w:t>
      </w:r>
      <w:r>
        <w:rPr>
          <w:b w:val="0"/>
          <w:sz w:val="28"/>
        </w:rPr>
        <w:t>по отдельным направлениям деятельности</w:t>
      </w:r>
      <w:r>
        <w:t>»</w:t>
      </w:r>
      <w:bookmarkStart w:id="1" w:name="_GoBack"/>
      <w:bookmarkEnd w:id="1"/>
      <w:r>
        <w:rPr>
          <w:b w:val="1"/>
        </w:rPr>
        <w:t xml:space="preserve">, </w:t>
      </w:r>
      <w:r>
        <w:t>поступивший из управления внутренней политики администрации Туапсинского муниципального округа установил:</w:t>
      </w:r>
    </w:p>
    <w:p w14:paraId="0E000000">
      <w:pPr>
        <w:ind w:firstLine="567" w:left="0"/>
        <w:jc w:val="both"/>
      </w:pPr>
      <w: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14:paraId="0F000000">
      <w:pPr>
        <w:ind w:firstLine="567" w:left="0"/>
        <w:jc w:val="both"/>
        <w:rPr>
          <w:rFonts w:ascii="PT Sans" w:hAnsi="PT Sans"/>
          <w:b w:val="1"/>
          <w:i w:val="0"/>
          <w:caps w:val="0"/>
          <w:color w:val="000000"/>
          <w:spacing w:val="0"/>
          <w:sz w:val="26"/>
          <w:highlight w:val="white"/>
        </w:rPr>
      </w:pPr>
      <w:r>
        <w:rPr>
          <w:sz w:val="28"/>
        </w:rPr>
        <w:t>Бюджетным кодексом Российской Федерации</w:t>
      </w:r>
      <w:r>
        <w:rPr>
          <w:color w:val="000000"/>
          <w:sz w:val="28"/>
        </w:rPr>
        <w:t>, ф</w:t>
      </w:r>
      <w:r>
        <w:rPr>
          <w:color w:val="000000"/>
          <w:sz w:val="28"/>
        </w:rPr>
        <w:t>едеральным</w:t>
      </w:r>
      <w:r>
        <w:rPr>
          <w:color w:val="000000"/>
          <w:sz w:val="28"/>
        </w:rPr>
        <w:t>и</w:t>
      </w:r>
      <w:r>
        <w:rPr>
          <w:color w:val="000000"/>
          <w:sz w:val="28"/>
        </w:rPr>
        <w:t xml:space="preserve"> закон</w:t>
      </w:r>
      <w:r>
        <w:rPr>
          <w:color w:val="000000"/>
          <w:sz w:val="28"/>
        </w:rPr>
        <w:t>а</w:t>
      </w:r>
      <w:r>
        <w:rPr>
          <w:color w:val="000000"/>
          <w:sz w:val="28"/>
        </w:rPr>
        <w:t>м</w:t>
      </w:r>
      <w:r>
        <w:rPr>
          <w:color w:val="000000"/>
          <w:sz w:val="28"/>
        </w:rPr>
        <w:t>и от 12 января 1996 г.</w:t>
      </w:r>
      <w:r>
        <w:rPr>
          <w:color w:val="000000"/>
          <w:sz w:val="28"/>
        </w:rPr>
        <w:t xml:space="preserve"> № 7-ФЗ «О некоммерческих организациях»,</w:t>
      </w:r>
      <w:r>
        <w:rPr>
          <w:sz w:val="28"/>
        </w:rPr>
        <w:t xml:space="preserve"> от 6 октября 2003 г.</w:t>
      </w:r>
      <w:r>
        <w:rPr>
          <w:sz w:val="28"/>
        </w:rPr>
        <w:t xml:space="preserve"> № 131-ФЗ «Об общих принципах организации местного самоуправления в Российской Федерации», </w:t>
      </w:r>
      <w:r>
        <w:rPr>
          <w:sz w:val="28"/>
        </w:rPr>
        <w:t>от 14 июля 2022 г.</w:t>
      </w:r>
      <w:r>
        <w:rPr>
          <w:sz w:val="28"/>
        </w:rPr>
        <w:t xml:space="preserve"> № 255-ФЗ «О </w:t>
      </w:r>
      <w:r>
        <w:rPr>
          <w:sz w:val="28"/>
        </w:rPr>
        <w:t>контроле за</w:t>
      </w:r>
      <w:r>
        <w:rPr>
          <w:sz w:val="28"/>
        </w:rPr>
        <w:t xml:space="preserve"> деятельностью лиц, находящихся под иностранным влиянием», </w:t>
      </w:r>
      <w:r>
        <w:rPr>
          <w:rFonts w:ascii="Times New Roman" w:hAnsi="Times New Roman"/>
          <w:b w:val="0"/>
          <w:i w:val="0"/>
          <w:caps w:val="0"/>
          <w:color w:val="000000"/>
          <w:spacing w:val="0"/>
          <w:sz w:val="28"/>
          <w:highlight w:val="white"/>
        </w:rPr>
        <w:t>Постановлениями Правительства Российской Федерации от 25 октября 2023 № 1781 (ред. от 25.11.2024) «Об утверждении Правил отбора получателей субсидий, в том числе грантов в форме субсидий, предоставляемых из бюджетов бюджетной системы Российской Федерации юридическим лицам, индивидуальным предпринимателям, а также физическим лицам - производителям товаров, работ, услуг»,</w:t>
      </w:r>
      <w:r>
        <w:rPr>
          <w:rFonts w:ascii="Times New Roman" w:hAnsi="Times New Roman"/>
          <w:b w:val="0"/>
          <w:i w:val="0"/>
          <w:caps w:val="0"/>
          <w:color w:val="000000"/>
          <w:spacing w:val="0"/>
          <w:sz w:val="28"/>
          <w:highlight w:val="white"/>
        </w:rPr>
        <w:t xml:space="preserve"> от 25 октября 2023 № 1780 (ред. от 17.02.2025) «Об утверждении Правил предоставления из бюджетов бюджетной системы Российской Федерации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w:t>
      </w:r>
      <w:r>
        <w:rPr>
          <w:rFonts w:ascii="Times New Roman" w:hAnsi="Times New Roman"/>
          <w:b w:val="0"/>
          <w:sz w:val="28"/>
        </w:rPr>
        <w:t>постановление</w:t>
      </w:r>
      <w:r>
        <w:rPr>
          <w:rFonts w:ascii="Times New Roman" w:hAnsi="Times New Roman"/>
          <w:b w:val="0"/>
          <w:sz w:val="28"/>
        </w:rPr>
        <w:t>м</w:t>
      </w:r>
      <w:r>
        <w:rPr>
          <w:rFonts w:ascii="Times New Roman" w:hAnsi="Times New Roman"/>
          <w:b w:val="0"/>
          <w:sz w:val="28"/>
        </w:rPr>
        <w:t xml:space="preserve"> администрации муниципального образования Туапсинс</w:t>
      </w:r>
      <w:r>
        <w:rPr>
          <w:sz w:val="28"/>
        </w:rPr>
        <w:t>кий район от 12 ноября 2015 г.</w:t>
      </w:r>
      <w:r>
        <w:rPr>
          <w:sz w:val="28"/>
        </w:rPr>
        <w:t xml:space="preserve"> № 2627</w:t>
      </w:r>
      <w:r>
        <w:rPr>
          <w:sz w:val="28"/>
        </w:rPr>
        <w:t xml:space="preserve"> «</w:t>
      </w:r>
      <w:r>
        <w:rPr>
          <w:sz w:val="28"/>
        </w:rPr>
        <w:t>Об утверждении муниципальной программы «Содействие развитию гражданского общества и гармонизации межнациональных отношений», Уставом Туапсинского муниципального округа.</w:t>
      </w:r>
    </w:p>
    <w:p w14:paraId="10000000">
      <w:pPr>
        <w:ind w:firstLine="567" w:left="0"/>
        <w:jc w:val="both"/>
      </w:pPr>
      <w:r>
        <w:t xml:space="preserve">2. Проект нормативного правового акта размещен на сайте администрации </w:t>
      </w:r>
      <w:r>
        <w:t>Туапсинского муниципального округа</w:t>
      </w:r>
      <w:r>
        <w:rPr>
          <w:color w:val="000000"/>
        </w:rPr>
        <w:t xml:space="preserve"> </w:t>
      </w:r>
      <w:r>
        <w:rPr>
          <w:rStyle w:val="Style_1_ch"/>
        </w:rPr>
        <w:fldChar w:fldCharType="begin"/>
      </w:r>
      <w:r>
        <w:rPr>
          <w:rStyle w:val="Style_1_ch"/>
        </w:rPr>
        <w:instrText>HYPERLINK "http://www.tuapseregion.ru/"</w:instrText>
      </w:r>
      <w:r>
        <w:rPr>
          <w:rStyle w:val="Style_1_ch"/>
        </w:rPr>
        <w:fldChar w:fldCharType="separate"/>
      </w:r>
      <w:r>
        <w:rPr>
          <w:rStyle w:val="Style_1_ch"/>
        </w:rPr>
        <w:t>www</w:t>
      </w:r>
      <w:r>
        <w:rPr>
          <w:rStyle w:val="Style_1_ch"/>
        </w:rPr>
        <w:t>.</w:t>
      </w:r>
      <w:r>
        <w:rPr>
          <w:rStyle w:val="Style_1_ch"/>
        </w:rPr>
        <w:t>tuapseregion</w:t>
      </w:r>
      <w:r>
        <w:rPr>
          <w:rStyle w:val="Style_1_ch"/>
        </w:rPr>
        <w:t>.</w:t>
      </w:r>
      <w:r>
        <w:rPr>
          <w:rStyle w:val="Style_1_ch"/>
        </w:rPr>
        <w:t>ru</w:t>
      </w:r>
      <w:r>
        <w:rPr>
          <w:rStyle w:val="Style_1_ch"/>
        </w:rPr>
        <w:fldChar w:fldCharType="end"/>
      </w:r>
      <w:r>
        <w:rPr>
          <w:color w:val="000000"/>
        </w:rPr>
        <w:t xml:space="preserve">, в разделе «Документы», подразделе «Антикоррупционная экспертиза нормативных правовых актов (проектов)» </w:t>
      </w:r>
      <w:r>
        <w:t xml:space="preserve">для проведения независимой антикоррупционной экспертизы. </w:t>
      </w:r>
    </w:p>
    <w:p w14:paraId="11000000">
      <w:pPr>
        <w:ind w:firstLine="567" w:left="0"/>
        <w:jc w:val="both"/>
      </w:pPr>
      <w:r>
        <w:t>3. В ходе антикоррупционной экспертизы проекта нормативного правового акта коррупциогенные факторы не обнаружены.</w:t>
      </w:r>
    </w:p>
    <w:p w14:paraId="12000000">
      <w:pPr>
        <w:ind w:firstLine="567" w:left="0"/>
        <w:jc w:val="both"/>
      </w:pPr>
      <w:r>
        <w:t>4. Проект нормативного правового акта может быть рекомендован для официального принятия.</w:t>
      </w:r>
    </w:p>
    <w:p w14:paraId="13000000"/>
    <w:p w14:paraId="14000000"/>
    <w:p w14:paraId="15000000">
      <w:r>
        <w:t>Начальник</w:t>
      </w:r>
    </w:p>
    <w:p w14:paraId="16000000">
      <w:r>
        <w:t>правового управления администрации</w:t>
      </w:r>
    </w:p>
    <w:p w14:paraId="17000000">
      <w:r>
        <w:t>Туапсинского муниципального округа                                               М.А.</w:t>
      </w:r>
      <w:r>
        <w:t xml:space="preserve"> </w:t>
      </w:r>
      <w:r>
        <w:t>Синенко</w:t>
      </w:r>
    </w:p>
    <w:p w14:paraId="18000000"/>
    <w:sectPr>
      <w:pgSz w:h="16838" w:orient="portrait" w:w="11906"/>
      <w:pgMar w:bottom="1134" w:footer="709" w:gutter="0" w:header="709" w:left="1701" w:right="567"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pPr>
      <w:spacing w:after="0" w:line="240" w:lineRule="auto"/>
      <w:ind/>
    </w:pPr>
    <w:rPr>
      <w:rFonts w:ascii="Times New Roman" w:hAnsi="Times New Roman"/>
      <w:sz w:val="28"/>
    </w:rPr>
  </w:style>
  <w:style w:default="1" w:styleId="Style_2_ch" w:type="character">
    <w:name w:val="Normal"/>
    <w:link w:val="Style_2"/>
    <w:rPr>
      <w:rFonts w:ascii="Times New Roman" w:hAnsi="Times New Roman"/>
      <w:sz w:val="28"/>
    </w:rPr>
  </w:style>
  <w:style w:styleId="Style_3" w:type="paragraph">
    <w:name w:val="toc 2"/>
    <w:next w:val="Style_2"/>
    <w:link w:val="Style_3_ch"/>
    <w:uiPriority w:val="39"/>
    <w:pPr>
      <w:ind w:firstLine="0" w:left="200"/>
      <w:jc w:val="left"/>
    </w:pPr>
    <w:rPr>
      <w:rFonts w:ascii="XO Thames" w:hAnsi="XO Thames"/>
      <w:sz w:val="28"/>
    </w:rPr>
  </w:style>
  <w:style w:styleId="Style_3_ch" w:type="character">
    <w:name w:val="toc 2"/>
    <w:link w:val="Style_3"/>
    <w:rPr>
      <w:rFonts w:ascii="XO Thames" w:hAnsi="XO Thames"/>
      <w:sz w:val="28"/>
    </w:rPr>
  </w:style>
  <w:style w:styleId="Style_4" w:type="paragraph">
    <w:name w:val="toc 4"/>
    <w:next w:val="Style_2"/>
    <w:link w:val="Style_4_ch"/>
    <w:uiPriority w:val="39"/>
    <w:pPr>
      <w:ind w:firstLine="0" w:left="600"/>
      <w:jc w:val="left"/>
    </w:pPr>
    <w:rPr>
      <w:rFonts w:ascii="XO Thames" w:hAnsi="XO Thames"/>
      <w:sz w:val="28"/>
    </w:rPr>
  </w:style>
  <w:style w:styleId="Style_4_ch" w:type="character">
    <w:name w:val="toc 4"/>
    <w:link w:val="Style_4"/>
    <w:rPr>
      <w:rFonts w:ascii="XO Thames" w:hAnsi="XO Thames"/>
      <w:sz w:val="28"/>
    </w:rPr>
  </w:style>
  <w:style w:styleId="Style_5" w:type="paragraph">
    <w:name w:val="toc 6"/>
    <w:next w:val="Style_2"/>
    <w:link w:val="Style_5_ch"/>
    <w:uiPriority w:val="39"/>
    <w:pPr>
      <w:ind w:firstLine="0" w:left="1000"/>
      <w:jc w:val="left"/>
    </w:pPr>
    <w:rPr>
      <w:rFonts w:ascii="XO Thames" w:hAnsi="XO Thames"/>
      <w:sz w:val="28"/>
    </w:rPr>
  </w:style>
  <w:style w:styleId="Style_5_ch" w:type="character">
    <w:name w:val="toc 6"/>
    <w:link w:val="Style_5"/>
    <w:rPr>
      <w:rFonts w:ascii="XO Thames" w:hAnsi="XO Thames"/>
      <w:sz w:val="28"/>
    </w:rPr>
  </w:style>
  <w:style w:styleId="Style_6" w:type="paragraph">
    <w:name w:val="toc 7"/>
    <w:next w:val="Style_2"/>
    <w:link w:val="Style_6_ch"/>
    <w:uiPriority w:val="39"/>
    <w:pPr>
      <w:ind w:firstLine="0" w:left="1200"/>
      <w:jc w:val="left"/>
    </w:pPr>
    <w:rPr>
      <w:rFonts w:ascii="XO Thames" w:hAnsi="XO Thames"/>
      <w:sz w:val="28"/>
    </w:rPr>
  </w:style>
  <w:style w:styleId="Style_6_ch" w:type="character">
    <w:name w:val="toc 7"/>
    <w:link w:val="Style_6"/>
    <w:rPr>
      <w:rFonts w:ascii="XO Thames" w:hAnsi="XO Thames"/>
      <w:sz w:val="28"/>
    </w:rPr>
  </w:style>
  <w:style w:styleId="Style_7" w:type="paragraph">
    <w:name w:val="Endnote"/>
    <w:link w:val="Style_7_ch"/>
    <w:pPr>
      <w:ind w:firstLine="851" w:left="0"/>
      <w:jc w:val="both"/>
    </w:pPr>
    <w:rPr>
      <w:rFonts w:ascii="XO Thames" w:hAnsi="XO Thames"/>
      <w:sz w:val="22"/>
    </w:rPr>
  </w:style>
  <w:style w:styleId="Style_7_ch" w:type="character">
    <w:name w:val="Endnote"/>
    <w:link w:val="Style_7"/>
    <w:rPr>
      <w:rFonts w:ascii="XO Thames" w:hAnsi="XO Thames"/>
      <w:sz w:val="22"/>
    </w:rPr>
  </w:style>
  <w:style w:styleId="Style_8" w:type="paragraph">
    <w:name w:val="heading 3"/>
    <w:next w:val="Style_2"/>
    <w:link w:val="Style_8_ch"/>
    <w:uiPriority w:val="9"/>
    <w:qFormat/>
    <w:pPr>
      <w:spacing w:after="120" w:before="120"/>
      <w:ind/>
      <w:jc w:val="both"/>
      <w:outlineLvl w:val="2"/>
    </w:pPr>
    <w:rPr>
      <w:rFonts w:ascii="XO Thames" w:hAnsi="XO Thames"/>
      <w:b w:val="1"/>
      <w:sz w:val="26"/>
    </w:rPr>
  </w:style>
  <w:style w:styleId="Style_8_ch" w:type="character">
    <w:name w:val="heading 3"/>
    <w:link w:val="Style_8"/>
    <w:rPr>
      <w:rFonts w:ascii="XO Thames" w:hAnsi="XO Thames"/>
      <w:b w:val="1"/>
      <w:sz w:val="26"/>
    </w:rPr>
  </w:style>
  <w:style w:styleId="Style_9" w:type="paragraph">
    <w:name w:val="toc 3"/>
    <w:next w:val="Style_2"/>
    <w:link w:val="Style_9_ch"/>
    <w:uiPriority w:val="39"/>
    <w:pPr>
      <w:ind w:firstLine="0" w:left="400"/>
      <w:jc w:val="left"/>
    </w:pPr>
    <w:rPr>
      <w:rFonts w:ascii="XO Thames" w:hAnsi="XO Thames"/>
      <w:sz w:val="28"/>
    </w:rPr>
  </w:style>
  <w:style w:styleId="Style_9_ch" w:type="character">
    <w:name w:val="toc 3"/>
    <w:link w:val="Style_9"/>
    <w:rPr>
      <w:rFonts w:ascii="XO Thames" w:hAnsi="XO Thames"/>
      <w:sz w:val="28"/>
    </w:rPr>
  </w:style>
  <w:style w:styleId="Style_10" w:type="paragraph">
    <w:name w:val="Balloon Text"/>
    <w:basedOn w:val="Style_2"/>
    <w:link w:val="Style_10_ch"/>
    <w:rPr>
      <w:rFonts w:ascii="Tahoma" w:hAnsi="Tahoma"/>
      <w:sz w:val="16"/>
    </w:rPr>
  </w:style>
  <w:style w:styleId="Style_10_ch" w:type="character">
    <w:name w:val="Balloon Text"/>
    <w:basedOn w:val="Style_2_ch"/>
    <w:link w:val="Style_10"/>
    <w:rPr>
      <w:rFonts w:ascii="Tahoma" w:hAnsi="Tahoma"/>
      <w:sz w:val="16"/>
    </w:rPr>
  </w:style>
  <w:style w:styleId="Style_11" w:type="paragraph">
    <w:name w:val="heading 5"/>
    <w:next w:val="Style_2"/>
    <w:link w:val="Style_11_ch"/>
    <w:uiPriority w:val="9"/>
    <w:qFormat/>
    <w:pPr>
      <w:spacing w:after="120" w:before="120"/>
      <w:ind/>
      <w:jc w:val="both"/>
      <w:outlineLvl w:val="4"/>
    </w:pPr>
    <w:rPr>
      <w:rFonts w:ascii="XO Thames" w:hAnsi="XO Thames"/>
      <w:b w:val="1"/>
      <w:sz w:val="22"/>
    </w:rPr>
  </w:style>
  <w:style w:styleId="Style_11_ch" w:type="character">
    <w:name w:val="heading 5"/>
    <w:link w:val="Style_11"/>
    <w:rPr>
      <w:rFonts w:ascii="XO Thames" w:hAnsi="XO Thames"/>
      <w:b w:val="1"/>
      <w:sz w:val="22"/>
    </w:rPr>
  </w:style>
  <w:style w:styleId="Style_12" w:type="paragraph">
    <w:name w:val="heading 1"/>
    <w:next w:val="Style_2"/>
    <w:link w:val="Style_12_ch"/>
    <w:uiPriority w:val="9"/>
    <w:qFormat/>
    <w:pPr>
      <w:spacing w:after="120" w:before="120"/>
      <w:ind/>
      <w:jc w:val="both"/>
      <w:outlineLvl w:val="0"/>
    </w:pPr>
    <w:rPr>
      <w:rFonts w:ascii="XO Thames" w:hAnsi="XO Thames"/>
      <w:b w:val="1"/>
      <w:sz w:val="32"/>
    </w:rPr>
  </w:style>
  <w:style w:styleId="Style_12_ch" w:type="character">
    <w:name w:val="heading 1"/>
    <w:link w:val="Style_12"/>
    <w:rPr>
      <w:rFonts w:ascii="XO Thames" w:hAnsi="XO Thames"/>
      <w:b w:val="1"/>
      <w:sz w:val="32"/>
    </w:rPr>
  </w:style>
  <w:style w:styleId="Style_13" w:type="paragraph">
    <w:name w:val="Default Paragraph Font"/>
    <w:link w:val="Style_13_ch"/>
  </w:style>
  <w:style w:styleId="Style_13_ch" w:type="character">
    <w:name w:val="Default Paragraph Font"/>
    <w:link w:val="Style_13"/>
  </w:style>
  <w:style w:styleId="Style_14" w:type="paragraph">
    <w:name w:val="ConsPlusNormal"/>
    <w:link w:val="Style_14_ch"/>
    <w:pPr>
      <w:widowControl w:val="0"/>
      <w:spacing w:after="0" w:line="240" w:lineRule="auto"/>
      <w:ind/>
    </w:pPr>
    <w:rPr>
      <w:rFonts w:ascii="Calibri" w:hAnsi="Calibri"/>
    </w:rPr>
  </w:style>
  <w:style w:styleId="Style_14_ch" w:type="character">
    <w:name w:val="ConsPlusNormal"/>
    <w:link w:val="Style_14"/>
    <w:rPr>
      <w:rFonts w:ascii="Calibri" w:hAnsi="Calibri"/>
    </w:rPr>
  </w:style>
  <w:style w:styleId="Style_1" w:type="paragraph">
    <w:name w:val="Hyperlink"/>
    <w:basedOn w:val="Style_13"/>
    <w:link w:val="Style_1_ch"/>
    <w:rPr>
      <w:color w:val="0000FF"/>
      <w:u w:val="single"/>
    </w:rPr>
  </w:style>
  <w:style w:styleId="Style_1_ch" w:type="character">
    <w:name w:val="Hyperlink"/>
    <w:basedOn w:val="Style_13_ch"/>
    <w:link w:val="Style_1"/>
    <w:rPr>
      <w:color w:val="0000FF"/>
      <w:u w:val="single"/>
    </w:rPr>
  </w:style>
  <w:style w:styleId="Style_15" w:type="paragraph">
    <w:name w:val="Footnote"/>
    <w:link w:val="Style_15_ch"/>
    <w:pPr>
      <w:ind w:firstLine="851" w:left="0"/>
      <w:jc w:val="both"/>
    </w:pPr>
    <w:rPr>
      <w:rFonts w:ascii="XO Thames" w:hAnsi="XO Thames"/>
      <w:sz w:val="22"/>
    </w:rPr>
  </w:style>
  <w:style w:styleId="Style_15_ch" w:type="character">
    <w:name w:val="Footnote"/>
    <w:link w:val="Style_15"/>
    <w:rPr>
      <w:rFonts w:ascii="XO Thames" w:hAnsi="XO Thames"/>
      <w:sz w:val="22"/>
    </w:rPr>
  </w:style>
  <w:style w:styleId="Style_16" w:type="paragraph">
    <w:name w:val="toc 1"/>
    <w:next w:val="Style_2"/>
    <w:link w:val="Style_16_ch"/>
    <w:uiPriority w:val="39"/>
    <w:pPr>
      <w:ind w:firstLine="0" w:left="0"/>
      <w:jc w:val="left"/>
    </w:pPr>
    <w:rPr>
      <w:rFonts w:ascii="XO Thames" w:hAnsi="XO Thames"/>
      <w:b w:val="1"/>
      <w:sz w:val="28"/>
    </w:rPr>
  </w:style>
  <w:style w:styleId="Style_16_ch" w:type="character">
    <w:name w:val="toc 1"/>
    <w:link w:val="Style_16"/>
    <w:rPr>
      <w:rFonts w:ascii="XO Thames" w:hAnsi="XO Thames"/>
      <w:b w:val="1"/>
      <w:sz w:val="28"/>
    </w:rPr>
  </w:style>
  <w:style w:styleId="Style_17" w:type="paragraph">
    <w:name w:val="Normal (Web)"/>
    <w:basedOn w:val="Style_2"/>
    <w:link w:val="Style_17_ch"/>
    <w:rPr>
      <w:sz w:val="24"/>
    </w:rPr>
  </w:style>
  <w:style w:styleId="Style_17_ch" w:type="character">
    <w:name w:val="Normal (Web)"/>
    <w:basedOn w:val="Style_2_ch"/>
    <w:link w:val="Style_17"/>
    <w:rPr>
      <w:sz w:val="24"/>
    </w:rPr>
  </w:style>
  <w:style w:styleId="Style_18" w:type="paragraph">
    <w:name w:val="Header and Footer"/>
    <w:link w:val="Style_18_ch"/>
    <w:pPr>
      <w:spacing w:line="240" w:lineRule="auto"/>
      <w:ind/>
      <w:jc w:val="both"/>
    </w:pPr>
    <w:rPr>
      <w:rFonts w:ascii="XO Thames" w:hAnsi="XO Thames"/>
      <w:sz w:val="28"/>
    </w:rPr>
  </w:style>
  <w:style w:styleId="Style_18_ch" w:type="character">
    <w:name w:val="Header and Footer"/>
    <w:link w:val="Style_18"/>
    <w:rPr>
      <w:rFonts w:ascii="XO Thames" w:hAnsi="XO Thames"/>
      <w:sz w:val="28"/>
    </w:rPr>
  </w:style>
  <w:style w:styleId="Style_19" w:type="paragraph">
    <w:name w:val="toc 9"/>
    <w:next w:val="Style_2"/>
    <w:link w:val="Style_19_ch"/>
    <w:uiPriority w:val="39"/>
    <w:pPr>
      <w:ind w:firstLine="0" w:left="1600"/>
      <w:jc w:val="left"/>
    </w:pPr>
    <w:rPr>
      <w:rFonts w:ascii="XO Thames" w:hAnsi="XO Thames"/>
      <w:sz w:val="28"/>
    </w:rPr>
  </w:style>
  <w:style w:styleId="Style_19_ch" w:type="character">
    <w:name w:val="toc 9"/>
    <w:link w:val="Style_19"/>
    <w:rPr>
      <w:rFonts w:ascii="XO Thames" w:hAnsi="XO Thames"/>
      <w:sz w:val="28"/>
    </w:rPr>
  </w:style>
  <w:style w:styleId="Style_20" w:type="paragraph">
    <w:name w:val="toc 8"/>
    <w:next w:val="Style_2"/>
    <w:link w:val="Style_20_ch"/>
    <w:uiPriority w:val="39"/>
    <w:pPr>
      <w:ind w:firstLine="0" w:left="1400"/>
      <w:jc w:val="left"/>
    </w:pPr>
    <w:rPr>
      <w:rFonts w:ascii="XO Thames" w:hAnsi="XO Thames"/>
      <w:sz w:val="28"/>
    </w:rPr>
  </w:style>
  <w:style w:styleId="Style_20_ch" w:type="character">
    <w:name w:val="toc 8"/>
    <w:link w:val="Style_20"/>
    <w:rPr>
      <w:rFonts w:ascii="XO Thames" w:hAnsi="XO Thames"/>
      <w:sz w:val="28"/>
    </w:rPr>
  </w:style>
  <w:style w:styleId="Style_21" w:type="paragraph">
    <w:name w:val="toc 5"/>
    <w:next w:val="Style_2"/>
    <w:link w:val="Style_21_ch"/>
    <w:uiPriority w:val="39"/>
    <w:pPr>
      <w:ind w:firstLine="0" w:left="800"/>
      <w:jc w:val="left"/>
    </w:pPr>
    <w:rPr>
      <w:rFonts w:ascii="XO Thames" w:hAnsi="XO Thames"/>
      <w:sz w:val="28"/>
    </w:rPr>
  </w:style>
  <w:style w:styleId="Style_21_ch" w:type="character">
    <w:name w:val="toc 5"/>
    <w:link w:val="Style_21"/>
    <w:rPr>
      <w:rFonts w:ascii="XO Thames" w:hAnsi="XO Thames"/>
      <w:sz w:val="28"/>
    </w:rPr>
  </w:style>
  <w:style w:styleId="Style_22" w:type="paragraph">
    <w:name w:val="Subtitle"/>
    <w:next w:val="Style_2"/>
    <w:link w:val="Style_22_ch"/>
    <w:uiPriority w:val="11"/>
    <w:qFormat/>
    <w:pPr>
      <w:ind/>
      <w:jc w:val="both"/>
    </w:pPr>
    <w:rPr>
      <w:rFonts w:ascii="XO Thames" w:hAnsi="XO Thames"/>
      <w:i w:val="1"/>
      <w:sz w:val="24"/>
    </w:rPr>
  </w:style>
  <w:style w:styleId="Style_22_ch" w:type="character">
    <w:name w:val="Subtitle"/>
    <w:link w:val="Style_22"/>
    <w:rPr>
      <w:rFonts w:ascii="XO Thames" w:hAnsi="XO Thames"/>
      <w:i w:val="1"/>
      <w:sz w:val="24"/>
    </w:rPr>
  </w:style>
  <w:style w:styleId="Style_23" w:type="paragraph">
    <w:name w:val="Title"/>
    <w:next w:val="Style_2"/>
    <w:link w:val="Style_23_ch"/>
    <w:uiPriority w:val="10"/>
    <w:qFormat/>
    <w:pPr>
      <w:spacing w:after="567" w:before="567"/>
      <w:ind/>
      <w:jc w:val="center"/>
    </w:pPr>
    <w:rPr>
      <w:rFonts w:ascii="XO Thames" w:hAnsi="XO Thames"/>
      <w:b w:val="1"/>
      <w:caps w:val="1"/>
      <w:sz w:val="40"/>
    </w:rPr>
  </w:style>
  <w:style w:styleId="Style_23_ch" w:type="character">
    <w:name w:val="Title"/>
    <w:link w:val="Style_23"/>
    <w:rPr>
      <w:rFonts w:ascii="XO Thames" w:hAnsi="XO Thames"/>
      <w:b w:val="1"/>
      <w:caps w:val="1"/>
      <w:sz w:val="40"/>
    </w:rPr>
  </w:style>
  <w:style w:styleId="Style_24" w:type="paragraph">
    <w:name w:val="heading 4"/>
    <w:next w:val="Style_2"/>
    <w:link w:val="Style_24_ch"/>
    <w:uiPriority w:val="9"/>
    <w:qFormat/>
    <w:pPr>
      <w:spacing w:after="120" w:before="120"/>
      <w:ind/>
      <w:jc w:val="both"/>
      <w:outlineLvl w:val="3"/>
    </w:pPr>
    <w:rPr>
      <w:rFonts w:ascii="XO Thames" w:hAnsi="XO Thames"/>
      <w:b w:val="1"/>
      <w:sz w:val="24"/>
    </w:rPr>
  </w:style>
  <w:style w:styleId="Style_24_ch" w:type="character">
    <w:name w:val="heading 4"/>
    <w:link w:val="Style_24"/>
    <w:rPr>
      <w:rFonts w:ascii="XO Thames" w:hAnsi="XO Thames"/>
      <w:b w:val="1"/>
      <w:sz w:val="24"/>
    </w:rPr>
  </w:style>
  <w:style w:styleId="Style_25" w:type="paragraph">
    <w:name w:val="heading 2"/>
    <w:next w:val="Style_2"/>
    <w:link w:val="Style_25_ch"/>
    <w:uiPriority w:val="9"/>
    <w:qFormat/>
    <w:pPr>
      <w:spacing w:after="120" w:before="120"/>
      <w:ind/>
      <w:jc w:val="both"/>
      <w:outlineLvl w:val="1"/>
    </w:pPr>
    <w:rPr>
      <w:rFonts w:ascii="XO Thames" w:hAnsi="XO Thames"/>
      <w:b w:val="1"/>
      <w:sz w:val="28"/>
    </w:rPr>
  </w:style>
  <w:style w:styleId="Style_25_ch" w:type="character">
    <w:name w:val="heading 2"/>
    <w:link w:val="Style_25"/>
    <w:rPr>
      <w:rFonts w:ascii="XO Thames" w:hAnsi="XO Thames"/>
      <w:b w:val="1"/>
      <w:sz w:val="28"/>
    </w:rPr>
  </w:style>
  <w:style w:styleId="Style_26" w:type="paragraph">
    <w:name w:val="Strong"/>
    <w:link w:val="Style_26_ch"/>
    <w:rPr>
      <w:rFonts w:ascii="Times New Roman" w:hAnsi="Times New Roman"/>
      <w:b w:val="1"/>
    </w:rPr>
  </w:style>
  <w:style w:styleId="Style_26_ch" w:type="character">
    <w:name w:val="Strong"/>
    <w:link w:val="Style_26"/>
    <w:rPr>
      <w:rFonts w:ascii="Times New Roman" w:hAnsi="Times New Roman"/>
      <w:b w:val="1"/>
    </w:rPr>
  </w:style>
  <w:style w:styleId="Style_27" w:type="table">
    <w:name w:val="Table Grid"/>
    <w:basedOn w:val="Style_28"/>
    <w:pPr>
      <w:spacing w:after="0" w:line="240" w:lineRule="auto"/>
      <w:ind/>
    </w:pPr>
    <w:rPr>
      <w:rFonts w:ascii="Times New Roman" w:hAnsi="Times New Roman"/>
      <w:sz w:val="20"/>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default="1" w:styleId="Style_28"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MyOffice-CoreFramework-Linux/32-1208.815.9166.836.1@c028b4579ab889516ede6e689f46f6dad43bf900</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2025-04-25T13:49:06Z</dcterms:modified>
</cp:coreProperties>
</file>