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ind w:firstLine="0" w:left="4961"/>
      </w:pPr>
      <w:r>
        <w:t>Начальнику  управления по физической культуре и спорту администрации Туапсинского муниципального округа</w:t>
      </w:r>
    </w:p>
    <w:p w14:paraId="02000000">
      <w:pPr>
        <w:ind w:firstLine="0" w:left="4961"/>
      </w:pPr>
    </w:p>
    <w:p w14:paraId="03000000">
      <w:pPr>
        <w:ind w:firstLine="0" w:left="4961"/>
      </w:pPr>
      <w:r>
        <w:t>Ергину Т.В.</w:t>
      </w:r>
    </w:p>
    <w:p w14:paraId="04000000">
      <w:pPr>
        <w:ind/>
        <w:jc w:val="both"/>
        <w:rPr>
          <w:b w:val="1"/>
        </w:rPr>
      </w:pPr>
    </w:p>
    <w:p w14:paraId="05000000">
      <w:pPr>
        <w:ind/>
        <w:jc w:val="center"/>
        <w:rPr>
          <w:b w:val="1"/>
        </w:rPr>
      </w:pPr>
    </w:p>
    <w:p w14:paraId="06000000">
      <w:pPr>
        <w:ind/>
        <w:jc w:val="center"/>
        <w:rPr>
          <w:b w:val="1"/>
        </w:rPr>
      </w:pPr>
    </w:p>
    <w:p w14:paraId="07000000">
      <w:pPr>
        <w:ind/>
        <w:jc w:val="center"/>
        <w:rPr>
          <w:b w:val="1"/>
        </w:rPr>
      </w:pPr>
      <w:r>
        <w:rPr>
          <w:b w:val="1"/>
        </w:rPr>
        <w:t>Заключение</w:t>
      </w:r>
    </w:p>
    <w:p w14:paraId="08000000">
      <w:pPr>
        <w:ind/>
        <w:jc w:val="center"/>
        <w:rPr>
          <w:b w:val="0"/>
        </w:rPr>
      </w:pPr>
      <w:r>
        <w:t xml:space="preserve">по результатам экспертизы проекта постановления администрации Туапсинского муниципального округа </w:t>
      </w:r>
      <w:r>
        <w:t>«</w:t>
      </w:r>
      <w:r>
        <w:rPr>
          <w:b w:val="0"/>
          <w:sz w:val="28"/>
        </w:rPr>
        <w:t xml:space="preserve">Об утверждении Порядка </w:t>
      </w:r>
      <w:r>
        <w:rPr>
          <w:b w:val="0"/>
          <w:sz w:val="28"/>
        </w:rPr>
        <w:t>предоставления</w:t>
      </w:r>
      <w:r>
        <w:rPr>
          <w:b w:val="0"/>
          <w:sz w:val="28"/>
        </w:rPr>
        <w:t xml:space="preserve"> субсидий муниципальным бюджетным </w:t>
      </w:r>
      <w:r>
        <w:rPr>
          <w:b w:val="0"/>
          <w:sz w:val="28"/>
        </w:rPr>
        <w:t>учреждениям, подведомственным</w:t>
      </w:r>
      <w:r>
        <w:rPr>
          <w:b w:val="0"/>
          <w:sz w:val="28"/>
        </w:rPr>
        <w:t xml:space="preserve"> управлению</w:t>
      </w:r>
      <w:r>
        <w:rPr>
          <w:b w:val="0"/>
          <w:sz w:val="28"/>
        </w:rPr>
        <w:t xml:space="preserve"> </w:t>
      </w:r>
      <w:r>
        <w:rPr>
          <w:b w:val="0"/>
          <w:sz w:val="28"/>
        </w:rPr>
        <w:t xml:space="preserve">по физической </w:t>
      </w:r>
      <w:r>
        <w:rPr>
          <w:b w:val="0"/>
          <w:sz w:val="28"/>
        </w:rPr>
        <w:t>культуре</w:t>
      </w:r>
      <w:r>
        <w:rPr>
          <w:b w:val="0"/>
          <w:sz w:val="28"/>
        </w:rPr>
        <w:t xml:space="preserve"> </w:t>
      </w:r>
      <w:r>
        <w:rPr>
          <w:b w:val="0"/>
          <w:sz w:val="28"/>
        </w:rPr>
        <w:t>и спорту администрации</w:t>
      </w:r>
      <w:r>
        <w:rPr>
          <w:b w:val="0"/>
          <w:sz w:val="28"/>
        </w:rPr>
        <w:t xml:space="preserve"> </w:t>
      </w:r>
      <w:r>
        <w:rPr>
          <w:b w:val="0"/>
          <w:sz w:val="28"/>
        </w:rPr>
        <w:t>Туапсинск</w:t>
      </w:r>
      <w:r>
        <w:rPr>
          <w:b w:val="0"/>
          <w:sz w:val="28"/>
        </w:rPr>
        <w:t>ого</w:t>
      </w:r>
      <w:r>
        <w:rPr>
          <w:b w:val="0"/>
        </w:rPr>
        <w:t xml:space="preserve"> </w:t>
      </w:r>
      <w:r>
        <w:rPr>
          <w:b w:val="0"/>
          <w:sz w:val="28"/>
        </w:rPr>
        <w:t>муниципального</w:t>
      </w:r>
      <w:r>
        <w:rPr>
          <w:b w:val="0"/>
          <w:sz w:val="28"/>
        </w:rPr>
        <w:t xml:space="preserve"> </w:t>
      </w:r>
      <w:r>
        <w:rPr>
          <w:b w:val="0"/>
          <w:sz w:val="28"/>
        </w:rPr>
        <w:t>округа</w:t>
      </w:r>
      <w:r>
        <w:rPr>
          <w:b w:val="0"/>
        </w:rPr>
        <w:t xml:space="preserve"> </w:t>
      </w:r>
    </w:p>
    <w:p w14:paraId="09000000">
      <w:pPr>
        <w:widowControl w:val="0"/>
        <w:ind/>
        <w:jc w:val="center"/>
        <w:rPr>
          <w:b w:val="0"/>
          <w:sz w:val="28"/>
        </w:rPr>
      </w:pPr>
      <w:r>
        <w:rPr>
          <w:b w:val="0"/>
          <w:sz w:val="28"/>
        </w:rPr>
        <w:t>на</w:t>
      </w:r>
      <w:r>
        <w:rPr>
          <w:b w:val="0"/>
        </w:rPr>
        <w:t xml:space="preserve"> </w:t>
      </w:r>
      <w:r>
        <w:rPr>
          <w:b w:val="0"/>
          <w:sz w:val="28"/>
        </w:rPr>
        <w:t xml:space="preserve">возмещение нормативных затрат, связанных </w:t>
      </w:r>
      <w:r>
        <w:rPr>
          <w:b w:val="0"/>
          <w:sz w:val="28"/>
        </w:rPr>
        <w:t xml:space="preserve">с оказанием ими </w:t>
      </w:r>
    </w:p>
    <w:p w14:paraId="0A000000">
      <w:pPr>
        <w:widowControl w:val="0"/>
        <w:ind/>
        <w:jc w:val="center"/>
        <w:rPr>
          <w:b w:val="0"/>
          <w:sz w:val="28"/>
        </w:rPr>
      </w:pPr>
      <w:r>
        <w:rPr>
          <w:b w:val="0"/>
          <w:sz w:val="28"/>
        </w:rPr>
        <w:t>в соответствии с муниципальным</w:t>
      </w:r>
      <w:r>
        <w:rPr>
          <w:b w:val="0"/>
          <w:sz w:val="28"/>
        </w:rPr>
        <w:t xml:space="preserve"> </w:t>
      </w:r>
      <w:r>
        <w:rPr>
          <w:b w:val="0"/>
          <w:sz w:val="28"/>
        </w:rPr>
        <w:t>заданием</w:t>
      </w:r>
      <w:r>
        <w:rPr>
          <w:b w:val="0"/>
          <w:sz w:val="28"/>
        </w:rPr>
        <w:t xml:space="preserve"> муниципальных услуг</w:t>
      </w:r>
    </w:p>
    <w:p w14:paraId="0B000000">
      <w:pPr>
        <w:widowControl w:val="0"/>
        <w:ind/>
        <w:jc w:val="center"/>
        <w:rPr>
          <w:b w:val="0"/>
          <w:sz w:val="28"/>
        </w:rPr>
      </w:pPr>
      <w:r>
        <w:rPr>
          <w:b w:val="0"/>
          <w:sz w:val="28"/>
        </w:rPr>
        <w:t xml:space="preserve"> (выполнение</w:t>
      </w:r>
      <w:r>
        <w:rPr>
          <w:b w:val="0"/>
          <w:sz w:val="28"/>
        </w:rPr>
        <w:t>м</w:t>
      </w:r>
      <w:r>
        <w:rPr>
          <w:b w:val="0"/>
          <w:sz w:val="28"/>
        </w:rPr>
        <w:t xml:space="preserve"> работ)»</w:t>
      </w:r>
    </w:p>
    <w:p w14:paraId="0C000000">
      <w:pPr>
        <w:widowControl w:val="0"/>
        <w:ind/>
        <w:jc w:val="both"/>
      </w:pPr>
    </w:p>
    <w:p w14:paraId="0D000000">
      <w:pPr>
        <w:widowControl w:val="0"/>
        <w:ind/>
        <w:jc w:val="both"/>
      </w:pPr>
    </w:p>
    <w:p w14:paraId="0E000000">
      <w:pPr>
        <w:ind/>
        <w:jc w:val="center"/>
      </w:pPr>
      <w:r>
        <w:rPr>
          <w:sz w:val="28"/>
        </w:rPr>
        <w:t xml:space="preserve"> </w:t>
      </w:r>
    </w:p>
    <w:p w14:paraId="0F000000">
      <w:pPr>
        <w:ind w:hanging="900" w:left="900"/>
        <w:jc w:val="center"/>
        <w:rPr>
          <w:b w:val="1"/>
        </w:rPr>
      </w:pPr>
    </w:p>
    <w:p w14:paraId="10000000">
      <w:pPr>
        <w:ind/>
        <w:jc w:val="center"/>
        <w:rPr>
          <w:b w:val="1"/>
        </w:rPr>
      </w:pPr>
    </w:p>
    <w:p w14:paraId="11000000">
      <w:pPr>
        <w:ind w:firstLine="567" w:left="0"/>
        <w:jc w:val="both"/>
        <w:rPr>
          <w:color w:val="000000"/>
        </w:rPr>
      </w:pPr>
      <w:r>
        <w:t xml:space="preserve">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муниципального образования Туапсинский муниципальный округ </w:t>
      </w:r>
      <w:r>
        <w:t>«</w:t>
      </w:r>
      <w:r>
        <w:rPr>
          <w:b w:val="0"/>
          <w:sz w:val="28"/>
        </w:rPr>
        <w:t xml:space="preserve">Об утверждении Порядка </w:t>
      </w:r>
      <w:r>
        <w:rPr>
          <w:b w:val="0"/>
          <w:sz w:val="28"/>
        </w:rPr>
        <w:t>предоставления</w:t>
      </w:r>
      <w:r>
        <w:rPr>
          <w:b w:val="0"/>
          <w:sz w:val="28"/>
        </w:rPr>
        <w:t xml:space="preserve"> субсидий муниципальным бюджетным </w:t>
      </w:r>
      <w:r>
        <w:rPr>
          <w:b w:val="0"/>
          <w:sz w:val="28"/>
        </w:rPr>
        <w:t>учреждениям, подведомственным</w:t>
      </w:r>
      <w:r>
        <w:rPr>
          <w:b w:val="0"/>
          <w:sz w:val="28"/>
        </w:rPr>
        <w:t xml:space="preserve"> управлению</w:t>
      </w:r>
      <w:r>
        <w:rPr>
          <w:b w:val="0"/>
          <w:sz w:val="28"/>
        </w:rPr>
        <w:t xml:space="preserve"> </w:t>
      </w:r>
      <w:r>
        <w:rPr>
          <w:b w:val="0"/>
          <w:sz w:val="28"/>
        </w:rPr>
        <w:t xml:space="preserve">по физической </w:t>
      </w:r>
      <w:r>
        <w:rPr>
          <w:b w:val="0"/>
          <w:sz w:val="28"/>
        </w:rPr>
        <w:t>культуре</w:t>
      </w:r>
      <w:r>
        <w:rPr>
          <w:b w:val="0"/>
          <w:sz w:val="28"/>
        </w:rPr>
        <w:t xml:space="preserve"> </w:t>
      </w:r>
      <w:r>
        <w:rPr>
          <w:b w:val="0"/>
          <w:sz w:val="28"/>
        </w:rPr>
        <w:t>и спорту администрации</w:t>
      </w:r>
      <w:r>
        <w:rPr>
          <w:b w:val="0"/>
          <w:sz w:val="28"/>
        </w:rPr>
        <w:t xml:space="preserve"> </w:t>
      </w:r>
      <w:r>
        <w:rPr>
          <w:b w:val="0"/>
          <w:sz w:val="28"/>
        </w:rPr>
        <w:t>Туапсинск</w:t>
      </w:r>
      <w:r>
        <w:rPr>
          <w:b w:val="0"/>
          <w:sz w:val="28"/>
        </w:rPr>
        <w:t>ого</w:t>
      </w:r>
      <w:r>
        <w:rPr>
          <w:b w:val="0"/>
        </w:rPr>
        <w:t xml:space="preserve"> </w:t>
      </w:r>
      <w:r>
        <w:rPr>
          <w:b w:val="0"/>
          <w:sz w:val="28"/>
        </w:rPr>
        <w:t>муниципального</w:t>
      </w:r>
      <w:r>
        <w:rPr>
          <w:b w:val="0"/>
          <w:sz w:val="28"/>
        </w:rPr>
        <w:t xml:space="preserve"> </w:t>
      </w:r>
      <w:r>
        <w:rPr>
          <w:b w:val="0"/>
          <w:sz w:val="28"/>
        </w:rPr>
        <w:t>округа</w:t>
      </w:r>
      <w:r>
        <w:rPr>
          <w:b w:val="0"/>
        </w:rPr>
        <w:t xml:space="preserve"> </w:t>
      </w:r>
      <w:r>
        <w:rPr>
          <w:b w:val="0"/>
          <w:sz w:val="28"/>
        </w:rPr>
        <w:t>на</w:t>
      </w:r>
      <w:r>
        <w:rPr>
          <w:b w:val="0"/>
        </w:rPr>
        <w:t xml:space="preserve"> </w:t>
      </w:r>
      <w:r>
        <w:rPr>
          <w:b w:val="0"/>
          <w:sz w:val="28"/>
        </w:rPr>
        <w:t xml:space="preserve">возмещение нормативных затрат, связанных </w:t>
      </w:r>
      <w:r>
        <w:rPr>
          <w:b w:val="0"/>
          <w:sz w:val="28"/>
        </w:rPr>
        <w:t xml:space="preserve">с оказанием ими </w:t>
      </w:r>
      <w:r>
        <w:rPr>
          <w:b w:val="0"/>
          <w:sz w:val="28"/>
        </w:rPr>
        <w:t>в соответствии с муниципальным</w:t>
      </w:r>
      <w:r>
        <w:rPr>
          <w:b w:val="0"/>
          <w:sz w:val="28"/>
        </w:rPr>
        <w:t xml:space="preserve"> </w:t>
      </w:r>
      <w:r>
        <w:rPr>
          <w:b w:val="0"/>
          <w:sz w:val="28"/>
        </w:rPr>
        <w:t>заданием</w:t>
      </w:r>
      <w:r>
        <w:rPr>
          <w:b w:val="0"/>
          <w:sz w:val="28"/>
        </w:rPr>
        <w:t xml:space="preserve"> муниципальных услуг</w:t>
      </w:r>
      <w:r>
        <w:rPr>
          <w:b w:val="0"/>
          <w:sz w:val="28"/>
        </w:rPr>
        <w:t xml:space="preserve"> (выполнение</w:t>
      </w:r>
      <w:r>
        <w:rPr>
          <w:b w:val="0"/>
          <w:sz w:val="28"/>
        </w:rPr>
        <w:t>м</w:t>
      </w:r>
      <w:r>
        <w:rPr>
          <w:b w:val="0"/>
          <w:sz w:val="28"/>
        </w:rPr>
        <w:t xml:space="preserve"> работ)</w:t>
      </w:r>
      <w:r>
        <w:t>»</w:t>
      </w:r>
      <w:bookmarkStart w:id="1" w:name="_GoBack"/>
      <w:bookmarkEnd w:id="1"/>
      <w:r>
        <w:rPr>
          <w:b w:val="1"/>
        </w:rPr>
        <w:t xml:space="preserve">, </w:t>
      </w:r>
      <w:r>
        <w:t>поступивший из  управления по физической культуре и спорту администрации Туапсинского муниципального округа установил:</w:t>
      </w:r>
    </w:p>
    <w:p w14:paraId="12000000">
      <w:pPr>
        <w:ind w:firstLine="567" w:left="0"/>
        <w:jc w:val="both"/>
      </w:pPr>
      <w: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14:paraId="13000000">
      <w:pPr>
        <w:ind w:firstLine="567" w:left="0"/>
        <w:jc w:val="both"/>
      </w:pPr>
      <w:r>
        <w:rPr>
          <w:sz w:val="28"/>
        </w:rPr>
        <w:t xml:space="preserve">Федеральным законом от 6 октября 2003 г. № 131-ФЗ </w:t>
      </w:r>
      <w:r>
        <w:rPr>
          <w:sz w:val="28"/>
        </w:rPr>
        <w:t xml:space="preserve">  </w:t>
      </w:r>
      <w:r>
        <w:rPr>
          <w:sz w:val="28"/>
        </w:rPr>
        <w:t xml:space="preserve">«Об общих принципах организации местного самоуправления в Российской Федерации», с </w:t>
      </w:r>
      <w:r>
        <w:rPr>
          <w:sz w:val="28"/>
        </w:rPr>
        <w:fldChar w:fldCharType="begin"/>
      </w:r>
      <w:r>
        <w:rPr>
          <w:sz w:val="28"/>
        </w:rPr>
        <w:instrText>HYPERLINK "https://login.consultant.ru/link/?req=doc&amp;base=LAW&amp;n=465808&amp;dst=103134"</w:instrText>
      </w:r>
      <w:r>
        <w:rPr>
          <w:sz w:val="28"/>
        </w:rPr>
        <w:fldChar w:fldCharType="separate"/>
      </w:r>
      <w:r>
        <w:rPr>
          <w:sz w:val="28"/>
        </w:rPr>
        <w:t>абзацами первым</w:t>
      </w:r>
      <w:r>
        <w:rPr>
          <w:sz w:val="28"/>
        </w:rPr>
        <w:fldChar w:fldCharType="end"/>
      </w:r>
      <w:r>
        <w:rPr>
          <w:sz w:val="28"/>
        </w:rPr>
        <w:t xml:space="preserve"> и </w:t>
      </w:r>
      <w:r>
        <w:rPr>
          <w:sz w:val="28"/>
        </w:rPr>
        <w:fldChar w:fldCharType="begin"/>
      </w:r>
      <w:r>
        <w:rPr>
          <w:sz w:val="28"/>
        </w:rPr>
        <w:instrText>HYPERLINK "https://login.consultant.ru/link/?req=doc&amp;base=LAW&amp;n=465808&amp;dst=103407"</w:instrText>
      </w:r>
      <w:r>
        <w:rPr>
          <w:sz w:val="28"/>
        </w:rPr>
        <w:fldChar w:fldCharType="separate"/>
      </w:r>
      <w:r>
        <w:rPr>
          <w:sz w:val="28"/>
        </w:rPr>
        <w:t>третьим пункта 1 статьи 78.1</w:t>
      </w:r>
      <w:r>
        <w:rPr>
          <w:sz w:val="28"/>
        </w:rPr>
        <w:fldChar w:fldCharType="end"/>
      </w:r>
      <w:r>
        <w:rPr>
          <w:sz w:val="28"/>
        </w:rPr>
        <w:t xml:space="preserve"> Бюджетного </w:t>
      </w:r>
      <w:r>
        <w:rPr>
          <w:sz w:val="28"/>
        </w:rPr>
        <w:t xml:space="preserve">кодекса Российской Федерации, </w:t>
      </w:r>
      <w:r>
        <w:rPr>
          <w:sz w:val="28"/>
        </w:rPr>
        <w:t xml:space="preserve">статьей 9.2 </w:t>
      </w:r>
      <w:r>
        <w:rPr>
          <w:sz w:val="28"/>
        </w:rPr>
        <w:t>Федеральн</w:t>
      </w:r>
      <w:r>
        <w:rPr>
          <w:sz w:val="28"/>
        </w:rPr>
        <w:t>ого</w:t>
      </w:r>
      <w:r>
        <w:rPr>
          <w:sz w:val="28"/>
        </w:rPr>
        <w:t xml:space="preserve"> </w:t>
      </w:r>
      <w:r>
        <w:rPr>
          <w:sz w:val="28"/>
        </w:rPr>
        <w:fldChar w:fldCharType="begin"/>
      </w:r>
      <w:r>
        <w:rPr>
          <w:sz w:val="28"/>
        </w:rPr>
        <w:instrText>HYPERLINK "https://login.consultant.ru/link/?req=doc&amp;base=LAW&amp;n=454064&amp;date=09.02.2024"</w:instrText>
      </w:r>
      <w:r>
        <w:rPr>
          <w:sz w:val="28"/>
        </w:rPr>
        <w:fldChar w:fldCharType="separate"/>
      </w:r>
      <w:r>
        <w:rPr>
          <w:sz w:val="28"/>
        </w:rPr>
        <w:t>закон</w:t>
      </w:r>
      <w:r>
        <w:rPr>
          <w:sz w:val="28"/>
        </w:rPr>
        <w:fldChar w:fldCharType="end"/>
      </w:r>
      <w:r>
        <w:rPr>
          <w:sz w:val="28"/>
        </w:rPr>
        <w:t>а</w:t>
      </w:r>
      <w:r>
        <w:rPr>
          <w:sz w:val="28"/>
        </w:rPr>
        <w:t xml:space="preserve"> от</w:t>
      </w:r>
      <w:r>
        <w:rPr>
          <w:sz w:val="28"/>
        </w:rPr>
        <w:t xml:space="preserve"> </w:t>
      </w:r>
      <w:r>
        <w:rPr>
          <w:sz w:val="28"/>
        </w:rPr>
        <w:t>12</w:t>
      </w:r>
      <w:r>
        <w:rPr>
          <w:sz w:val="28"/>
        </w:rPr>
        <w:t xml:space="preserve"> </w:t>
      </w:r>
      <w:r>
        <w:rPr>
          <w:sz w:val="28"/>
        </w:rPr>
        <w:t>янва</w:t>
      </w:r>
      <w:r>
        <w:rPr>
          <w:sz w:val="28"/>
        </w:rPr>
        <w:t xml:space="preserve">ря </w:t>
      </w:r>
      <w:r>
        <w:rPr>
          <w:sz w:val="28"/>
        </w:rPr>
        <w:t>1996</w:t>
      </w:r>
      <w:r>
        <w:rPr>
          <w:sz w:val="28"/>
        </w:rPr>
        <w:t xml:space="preserve"> г</w:t>
      </w:r>
      <w:r>
        <w:rPr>
          <w:sz w:val="28"/>
        </w:rPr>
        <w:t>.</w:t>
      </w:r>
      <w:r>
        <w:rPr>
          <w:sz w:val="28"/>
        </w:rPr>
        <w:t xml:space="preserve"> </w:t>
      </w:r>
      <w:r>
        <w:rPr>
          <w:sz w:val="28"/>
        </w:rPr>
        <w:t>№</w:t>
      </w:r>
      <w:r>
        <w:rPr>
          <w:sz w:val="28"/>
        </w:rPr>
        <w:t xml:space="preserve"> </w:t>
      </w:r>
      <w:r>
        <w:rPr>
          <w:sz w:val="28"/>
        </w:rPr>
        <w:t>7</w:t>
      </w:r>
      <w:r>
        <w:rPr>
          <w:sz w:val="28"/>
        </w:rPr>
        <w:t xml:space="preserve">-ФЗ «О </w:t>
      </w:r>
      <w:r>
        <w:rPr>
          <w:sz w:val="28"/>
        </w:rPr>
        <w:t>некоммерческих организациях</w:t>
      </w:r>
      <w:r>
        <w:rPr>
          <w:sz w:val="28"/>
        </w:rPr>
        <w:t>»,</w:t>
      </w:r>
      <w:r>
        <w:rPr>
          <w:sz w:val="28"/>
        </w:rPr>
        <w:t xml:space="preserve"> </w:t>
      </w:r>
      <w:r>
        <w:rPr>
          <w:sz w:val="28"/>
        </w:rPr>
        <w:t xml:space="preserve">Федеральным </w:t>
      </w:r>
      <w:r>
        <w:rPr>
          <w:sz w:val="28"/>
        </w:rPr>
        <w:fldChar w:fldCharType="begin"/>
      </w:r>
      <w:r>
        <w:rPr>
          <w:sz w:val="28"/>
        </w:rPr>
        <w:instrText>HYPERLINK "https://login.consultant.ru/link/?req=doc&amp;base=LAW&amp;n=454064"</w:instrText>
      </w:r>
      <w:r>
        <w:rPr>
          <w:sz w:val="28"/>
        </w:rPr>
        <w:fldChar w:fldCharType="separate"/>
      </w:r>
      <w:r>
        <w:rPr>
          <w:sz w:val="28"/>
        </w:rPr>
        <w:t>законом</w:t>
      </w:r>
      <w:r>
        <w:rPr>
          <w:sz w:val="28"/>
        </w:rPr>
        <w:fldChar w:fldCharType="end"/>
      </w:r>
      <w:r>
        <w:rPr>
          <w:sz w:val="28"/>
        </w:rPr>
        <w:t xml:space="preserve"> </w:t>
      </w:r>
      <w:r>
        <w:rPr>
          <w:sz w:val="28"/>
        </w:rPr>
        <w:t xml:space="preserve">от 4 </w:t>
      </w:r>
      <w:r>
        <w:rPr>
          <w:sz w:val="28"/>
        </w:rPr>
        <w:t xml:space="preserve">декабря 2007 </w:t>
      </w:r>
      <w:r>
        <w:rPr>
          <w:sz w:val="28"/>
        </w:rPr>
        <w:t>г.</w:t>
      </w:r>
      <w:r>
        <w:rPr>
          <w:sz w:val="28"/>
        </w:rPr>
        <w:t xml:space="preserve"> № 329-ФЗ «О физической культуре и спорте в Российской Федерации»</w:t>
      </w:r>
      <w:r>
        <w:rPr>
          <w:sz w:val="28"/>
        </w:rPr>
        <w:t>,</w:t>
      </w:r>
      <w:r>
        <w:rPr>
          <w:sz w:val="28"/>
        </w:rPr>
        <w:t xml:space="preserve"> </w:t>
      </w:r>
      <w:r>
        <w:rPr>
          <w:sz w:val="28"/>
        </w:rPr>
        <w:t xml:space="preserve">решением Совета муниципального образования Туапсинский муниципальный округ Краснодарского края от 20 декабря 2024 г. № 117 «О правопреемстве администрации муниципального образования Туапсинский муниципальный округ Краснодарского края», </w:t>
      </w:r>
      <w:r>
        <w:rPr>
          <w:sz w:val="28"/>
        </w:rPr>
        <w:t>Устав</w:t>
      </w:r>
      <w:r>
        <w:rPr>
          <w:sz w:val="28"/>
        </w:rPr>
        <w:t>ом</w:t>
      </w:r>
      <w:r>
        <w:rPr>
          <w:sz w:val="28"/>
        </w:rPr>
        <w:t xml:space="preserve"> Туап</w:t>
      </w:r>
      <w:r>
        <w:rPr>
          <w:sz w:val="28"/>
        </w:rPr>
        <w:t>синского муниципального округа.</w:t>
      </w:r>
    </w:p>
    <w:p w14:paraId="14000000">
      <w:pPr>
        <w:ind w:firstLine="567" w:left="0"/>
        <w:jc w:val="both"/>
      </w:pPr>
      <w:r>
        <w:t xml:space="preserve">2. Проект нормативного правового акта размещен на сайте администрации </w:t>
      </w:r>
      <w:r>
        <w:t>Туапсинского муниципального округа</w:t>
      </w:r>
      <w:r>
        <w:rPr>
          <w:color w:val="000000"/>
        </w:rPr>
        <w:t xml:space="preserve"> </w:t>
      </w:r>
      <w:r>
        <w:rPr>
          <w:rStyle w:val="Style_1_ch"/>
        </w:rPr>
        <w:fldChar w:fldCharType="begin"/>
      </w:r>
      <w:r>
        <w:rPr>
          <w:rStyle w:val="Style_1_ch"/>
        </w:rPr>
        <w:instrText>HYPERLINK "http://www.tuapseregion.ru/"</w:instrText>
      </w:r>
      <w:r>
        <w:rPr>
          <w:rStyle w:val="Style_1_ch"/>
        </w:rPr>
        <w:fldChar w:fldCharType="separate"/>
      </w:r>
      <w:r>
        <w:rPr>
          <w:rStyle w:val="Style_1_ch"/>
        </w:rPr>
        <w:t>www</w:t>
      </w:r>
      <w:r>
        <w:rPr>
          <w:rStyle w:val="Style_1_ch"/>
        </w:rPr>
        <w:t>.</w:t>
      </w:r>
      <w:r>
        <w:rPr>
          <w:rStyle w:val="Style_1_ch"/>
        </w:rPr>
        <w:t>tuapseregion</w:t>
      </w:r>
      <w:r>
        <w:rPr>
          <w:rStyle w:val="Style_1_ch"/>
        </w:rPr>
        <w:t>.</w:t>
      </w:r>
      <w:r>
        <w:rPr>
          <w:rStyle w:val="Style_1_ch"/>
        </w:rPr>
        <w:t>ru</w:t>
      </w:r>
      <w:r>
        <w:rPr>
          <w:rStyle w:val="Style_1_ch"/>
        </w:rPr>
        <w:fldChar w:fldCharType="end"/>
      </w:r>
      <w:r>
        <w:rPr>
          <w:color w:val="000000"/>
        </w:rPr>
        <w:t xml:space="preserve">, в разделе «Документы», подразделе «Антикоррупционная экспертиза нормативных правовых актов (проектов)» </w:t>
      </w:r>
      <w:r>
        <w:t xml:space="preserve">для проведения независимой антикоррупционной экспертизы. </w:t>
      </w:r>
    </w:p>
    <w:p w14:paraId="15000000">
      <w:pPr>
        <w:ind w:firstLine="567" w:left="0"/>
        <w:jc w:val="both"/>
      </w:pPr>
      <w:r>
        <w:t>3. В ходе антикоррупционной экспертизы проекта нормативного правового акта коррупциогенные факторы не обнаружены.</w:t>
      </w:r>
    </w:p>
    <w:p w14:paraId="16000000">
      <w:pPr>
        <w:ind w:firstLine="567" w:left="0"/>
        <w:jc w:val="both"/>
      </w:pPr>
      <w:r>
        <w:t>4. Проект нормативного правового акта может быть рекомендован для официального принятия.</w:t>
      </w:r>
    </w:p>
    <w:p w14:paraId="17000000"/>
    <w:p w14:paraId="18000000"/>
    <w:p w14:paraId="19000000">
      <w:r>
        <w:t>Исполняющий</w:t>
      </w:r>
      <w:r>
        <w:t xml:space="preserve"> обязанности начальника</w:t>
      </w:r>
    </w:p>
    <w:p w14:paraId="1A000000">
      <w:r>
        <w:t>правового управления администрации</w:t>
      </w:r>
    </w:p>
    <w:p w14:paraId="1B000000">
      <w:r>
        <w:t>Туапсинского муниципального округа                                               М.А.</w:t>
      </w:r>
      <w:r>
        <w:t xml:space="preserve"> </w:t>
      </w:r>
      <w:r>
        <w:t>Синенко</w:t>
      </w:r>
    </w:p>
    <w:p w14:paraId="1C000000"/>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spacing w:after="0" w:line="240" w:lineRule="auto"/>
      <w:ind/>
    </w:pPr>
    <w:rPr>
      <w:rFonts w:ascii="Times New Roman" w:hAnsi="Times New Roman"/>
      <w:sz w:val="28"/>
    </w:rPr>
  </w:style>
  <w:style w:default="1" w:styleId="Style_2_ch" w:type="character">
    <w:name w:val="Normal"/>
    <w:link w:val="Style_2"/>
    <w:rPr>
      <w:rFonts w:ascii="Times New Roman" w:hAnsi="Times New Roman"/>
      <w:sz w:val="28"/>
    </w:rPr>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2"/>
    <w:link w:val="Style_6_ch"/>
    <w:uiPriority w:val="39"/>
    <w:pPr>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Endnote"/>
    <w:link w:val="Style_7_ch"/>
    <w:pPr>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2"/>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2"/>
    <w:link w:val="Style_9_ch"/>
    <w:uiPriority w:val="39"/>
    <w:pPr>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Strong"/>
    <w:link w:val="Style_10_ch"/>
    <w:rPr>
      <w:rFonts w:ascii="Times New Roman" w:hAnsi="Times New Roman"/>
      <w:b w:val="1"/>
    </w:rPr>
  </w:style>
  <w:style w:styleId="Style_10_ch" w:type="character">
    <w:name w:val="Strong"/>
    <w:link w:val="Style_10"/>
    <w:rPr>
      <w:rFonts w:ascii="Times New Roman" w:hAnsi="Times New Roman"/>
      <w:b w:val="1"/>
    </w:rPr>
  </w:style>
  <w:style w:styleId="Style_11" w:type="paragraph">
    <w:name w:val="heading 5"/>
    <w:next w:val="Style_2"/>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2"/>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 w:type="paragraph">
    <w:name w:val="Hyperlink"/>
    <w:basedOn w:val="Style_13"/>
    <w:link w:val="Style_1_ch"/>
    <w:rPr>
      <w:color w:val="0000FF"/>
      <w:u w:val="single"/>
    </w:rPr>
  </w:style>
  <w:style w:styleId="Style_1_ch" w:type="character">
    <w:name w:val="Hyperlink"/>
    <w:basedOn w:val="Style_13_ch"/>
    <w:link w:val="Style_1"/>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2"/>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8"/>
    </w:rPr>
  </w:style>
  <w:style w:styleId="Style_16_ch" w:type="character">
    <w:name w:val="Header and Footer"/>
    <w:link w:val="Style_16"/>
    <w:rPr>
      <w:rFonts w:ascii="XO Thames" w:hAnsi="XO Thames"/>
      <w:sz w:val="28"/>
    </w:rPr>
  </w:style>
  <w:style w:styleId="Style_17" w:type="paragraph">
    <w:name w:val="toc 9"/>
    <w:next w:val="Style_2"/>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Balloon Text"/>
    <w:basedOn w:val="Style_2"/>
    <w:link w:val="Style_18_ch"/>
    <w:rPr>
      <w:rFonts w:ascii="Tahoma" w:hAnsi="Tahoma"/>
      <w:sz w:val="16"/>
    </w:rPr>
  </w:style>
  <w:style w:styleId="Style_18_ch" w:type="character">
    <w:name w:val="Balloon Text"/>
    <w:basedOn w:val="Style_2_ch"/>
    <w:link w:val="Style_18"/>
    <w:rPr>
      <w:rFonts w:ascii="Tahoma" w:hAnsi="Tahoma"/>
      <w:sz w:val="16"/>
    </w:rPr>
  </w:style>
  <w:style w:styleId="Style_19" w:type="paragraph">
    <w:name w:val="toc 8"/>
    <w:next w:val="Style_2"/>
    <w:link w:val="Style_19_ch"/>
    <w:uiPriority w:val="39"/>
    <w:pPr>
      <w:ind w:firstLine="0" w:left="1400"/>
      <w:jc w:val="left"/>
    </w:pPr>
    <w:rPr>
      <w:rFonts w:ascii="XO Thames" w:hAnsi="XO Thames"/>
      <w:sz w:val="28"/>
    </w:rPr>
  </w:style>
  <w:style w:styleId="Style_19_ch" w:type="character">
    <w:name w:val="toc 8"/>
    <w:link w:val="Style_19"/>
    <w:rPr>
      <w:rFonts w:ascii="XO Thames" w:hAnsi="XO Thames"/>
      <w:sz w:val="28"/>
    </w:rPr>
  </w:style>
  <w:style w:styleId="Style_20" w:type="paragraph">
    <w:name w:val="ConsPlusNormal"/>
    <w:link w:val="Style_20_ch"/>
    <w:pPr>
      <w:widowControl w:val="0"/>
      <w:spacing w:after="0" w:line="240" w:lineRule="auto"/>
      <w:ind/>
    </w:pPr>
    <w:rPr>
      <w:rFonts w:ascii="Calibri" w:hAnsi="Calibri"/>
    </w:rPr>
  </w:style>
  <w:style w:styleId="Style_20_ch" w:type="character">
    <w:name w:val="ConsPlusNormal"/>
    <w:link w:val="Style_20"/>
    <w:rPr>
      <w:rFonts w:ascii="Calibri" w:hAnsi="Calibri"/>
    </w:rPr>
  </w:style>
  <w:style w:styleId="Style_21" w:type="paragraph">
    <w:name w:val="toc 5"/>
    <w:next w:val="Style_2"/>
    <w:link w:val="Style_21_ch"/>
    <w:uiPriority w:val="39"/>
    <w:pPr>
      <w:ind w:firstLine="0" w:left="800"/>
      <w:jc w:val="left"/>
    </w:pPr>
    <w:rPr>
      <w:rFonts w:ascii="XO Thames" w:hAnsi="XO Thames"/>
      <w:sz w:val="28"/>
    </w:rPr>
  </w:style>
  <w:style w:styleId="Style_21_ch" w:type="character">
    <w:name w:val="toc 5"/>
    <w:link w:val="Style_21"/>
    <w:rPr>
      <w:rFonts w:ascii="XO Thames" w:hAnsi="XO Thames"/>
      <w:sz w:val="28"/>
    </w:rPr>
  </w:style>
  <w:style w:styleId="Style_22" w:type="paragraph">
    <w:name w:val="Normal (Web)"/>
    <w:basedOn w:val="Style_2"/>
    <w:link w:val="Style_22_ch"/>
    <w:rPr>
      <w:sz w:val="24"/>
    </w:rPr>
  </w:style>
  <w:style w:styleId="Style_22_ch" w:type="character">
    <w:name w:val="Normal (Web)"/>
    <w:basedOn w:val="Style_2_ch"/>
    <w:link w:val="Style_22"/>
    <w:rPr>
      <w:sz w:val="24"/>
    </w:rPr>
  </w:style>
  <w:style w:styleId="Style_23" w:type="paragraph">
    <w:name w:val="Subtitle"/>
    <w:next w:val="Style_2"/>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2"/>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2"/>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13" w:type="paragraph">
    <w:name w:val="Default Paragraph Font"/>
    <w:link w:val="Style_13_ch"/>
  </w:style>
  <w:style w:styleId="Style_13_ch" w:type="character">
    <w:name w:val="Default Paragraph Font"/>
    <w:link w:val="Style_13"/>
  </w:style>
  <w:style w:styleId="Style_26" w:type="paragraph">
    <w:name w:val="heading 2"/>
    <w:next w:val="Style_2"/>
    <w:link w:val="Style_26_ch"/>
    <w:uiPriority w:val="9"/>
    <w:qFormat/>
    <w:pPr>
      <w:spacing w:after="120" w:before="120"/>
      <w:ind/>
      <w:jc w:val="both"/>
      <w:outlineLvl w:val="1"/>
    </w:pPr>
    <w:rPr>
      <w:rFonts w:ascii="XO Thames" w:hAnsi="XO Thames"/>
      <w:b w:val="1"/>
      <w:sz w:val="28"/>
    </w:rPr>
  </w:style>
  <w:style w:styleId="Style_26_ch" w:type="character">
    <w:name w:val="heading 2"/>
    <w:link w:val="Style_26"/>
    <w:rPr>
      <w:rFonts w:ascii="XO Thames" w:hAnsi="XO Thames"/>
      <w:b w:val="1"/>
      <w:sz w:val="28"/>
    </w:rPr>
  </w:style>
  <w:style w:default="1" w:styleId="Style_27" w:type="table">
    <w:name w:val="Normal Table"/>
    <w:tblPr>
      <w:tblInd w:type="dxa" w:w="0"/>
      <w:tblCellMar>
        <w:top w:type="dxa" w:w="0"/>
        <w:left w:type="dxa" w:w="108"/>
        <w:bottom w:type="dxa" w:w="0"/>
        <w:right w:type="dxa" w:w="108"/>
      </w:tblCellMar>
    </w:tblPr>
  </w:style>
  <w:style w:styleId="Style_28" w:type="table">
    <w:name w:val="Table Grid"/>
    <w:basedOn w:val="Style_27"/>
    <w:pPr>
      <w:spacing w:after="0" w:line="240" w:lineRule="auto"/>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MyOffice-CoreFramework-Linux/32-1208.815.9166.836.1@c028b4579ab889516ede6e689f46f6dad43bf900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2025-02-26T14:38:07Z</dcterms:modified>
</cp:coreProperties>
</file>