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40" w:lineRule="auto"/>
        <w:ind/>
        <w:jc w:val="center"/>
      </w:pPr>
    </w:p>
    <w:p w14:paraId="04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Информация</w:t>
      </w:r>
    </w:p>
    <w:p w14:paraId="05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О выполнении Национального плана противодействия коррупции</w:t>
      </w:r>
    </w:p>
    <w:p w14:paraId="06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в Туапсинском муниципальном округе</w:t>
      </w:r>
    </w:p>
    <w:p w14:paraId="07000000">
      <w:pPr>
        <w:spacing w:after="0" w:before="0" w:line="240" w:lineRule="auto"/>
        <w:ind/>
        <w:jc w:val="center"/>
      </w:pPr>
    </w:p>
    <w:p w14:paraId="08000000">
      <w:pPr>
        <w:spacing w:after="0" w:before="0" w:line="240" w:lineRule="auto"/>
        <w:ind/>
        <w:jc w:val="center"/>
      </w:pPr>
    </w:p>
    <w:tbl>
      <w:tblPr>
        <w:tblStyle w:val="Style_2"/>
        <w:tblW w:type="auto" w:w="0"/>
        <w:jc w:val="center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47"/>
        <w:gridCol w:w="6272"/>
        <w:gridCol w:w="8041"/>
      </w:tblGrid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A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Мероприятие</w:t>
            </w:r>
          </w:p>
          <w:p w14:paraId="0C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80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 исполнения</w:t>
            </w:r>
          </w:p>
        </w:tc>
      </w:tr>
    </w:tbl>
    <w:p w14:paraId="0E000000">
      <w:pPr>
        <w:spacing w:after="0" w:before="0" w:line="12" w:lineRule="auto"/>
        <w:ind/>
        <w:rPr>
          <w:rFonts w:ascii="Times New Roman" w:hAnsi="Times New Roman"/>
          <w:sz w:val="2"/>
        </w:rPr>
      </w:pPr>
    </w:p>
    <w:tbl>
      <w:tblPr>
        <w:tblStyle w:val="Style_2"/>
        <w:tblW w:type="auto" w:w="0"/>
        <w:jc w:val="center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35"/>
        <w:gridCol w:w="6272"/>
        <w:gridCol w:w="8022"/>
      </w:tblGrid>
      <w:tr>
        <w:trPr>
          <w:tblHeader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Оценка восприятия уровня коррупции и мониторинг коррупционных рисков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Оценка восприятия уровня коррупции в муниципальном образовании Туапсинский район, размещение результатов в средствах массовой информации и на официальном сайте администрации муниципального образования Туапсинский район в информационно-телекоммуникационной сети «Интернет»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один раз в полугодие, в Туапсинском муниципальном округе проводится мониторинг восприятия уровня коррупции.</w:t>
            </w:r>
          </w:p>
          <w:p w14:paraId="16000000">
            <w:pPr>
              <w:pStyle w:val="Style_3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целях мониторинга восприятия уровня коррупции проводится социологическое исследование. </w:t>
            </w:r>
            <w:r>
              <w:rPr>
                <w:rFonts w:ascii="Times New Roman" w:hAnsi="Times New Roman"/>
                <w:color w:val="000000"/>
                <w:sz w:val="28"/>
              </w:rPr>
              <w:t>В 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социологическое исследование на территории </w:t>
            </w:r>
            <w:r>
              <w:rPr>
                <w:rFonts w:ascii="Times New Roman" w:hAnsi="Times New Roman"/>
                <w:color w:val="000000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проводилось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>
        <w:trPr>
          <w:trHeight w:hRule="atLeast" w:val="655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Проведение мониторинга коррупционных рисков в администрации муниципального образования Туапсинский район, размещение результатов в средствах массовой информации и на официальном сайте администрации муниципального образования Туапсинский район в информационно-телекоммуникационной сети «Интернет»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соответствии с постановлением администрации муниципального образования Туапсинский район № 1164 от 15 апреля 2013 г. «Об утверждении методики мониторинга коррупционных рисков в администрации муниципального образования Туапсинский район» два раза в год, один раз в полугодие проводится мониторинг коррупционных рисков.</w:t>
            </w:r>
          </w:p>
          <w:p w14:paraId="1A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1 полугодии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2026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проведен мониторинг, нарушений не выявлено, информация о проведенном мониторинге размещена на официальном сайте администрации Туапсинского муниципального округа по следующей ссылке:</w:t>
            </w:r>
          </w:p>
          <w:p w14:paraId="1B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color w:val="C0504D"/>
                <w:sz w:val="22"/>
                <w:shd w:fill="FFD821" w:val="clear"/>
              </w:rPr>
            </w:pPr>
            <w:r>
              <w:rPr>
                <w:rStyle w:val="Style_4_ch"/>
                <w:rFonts w:ascii="Times New Roman" w:hAnsi="Times New Roman"/>
                <w:sz w:val="22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2"/>
              </w:rPr>
              <w:instrText>HYPERLINK "https://tuapseregion.ru/upload/iblock/1ef/2x0i1f6msb0lgv0xmuxhpmww0fgz0b1f.docx"</w:instrText>
            </w:r>
            <w:r>
              <w:rPr>
                <w:rStyle w:val="Style_4_ch"/>
                <w:rFonts w:ascii="Times New Roman" w:hAnsi="Times New Roman"/>
                <w:sz w:val="22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2"/>
              </w:rPr>
              <w:t>https://tuapseregion.ru/upload/iblock/1ef/2x0i1f6msb0lgv0xmuxhpmww0fgz0b1f.docx</w:t>
            </w:r>
            <w:r>
              <w:rPr>
                <w:rStyle w:val="Style_4_ch"/>
                <w:rFonts w:ascii="Times New Roman" w:hAnsi="Times New Roman"/>
                <w:sz w:val="22"/>
              </w:rPr>
              <w:fldChar w:fldCharType="end"/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 Противодействие коррупции 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2026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рамках государственной программы Краснодарского края «Региональная политика и развитие гражданского общества»,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 направлению «Основы профилактики коррупции», за счет средств краевого бюджета по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повышению квалификации </w:t>
            </w:r>
            <w:r>
              <w:rPr>
                <w:rFonts w:ascii="Times New Roman" w:hAnsi="Times New Roman"/>
                <w:color w:val="000000"/>
                <w:sz w:val="28"/>
              </w:rPr>
              <w:t>не проводились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0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Также 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2026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мероприятия по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дистанционному обучению из бюджета </w:t>
            </w:r>
            <w:r>
              <w:rPr>
                <w:rFonts w:ascii="Times New Roman" w:hAnsi="Times New Roman"/>
                <w:sz w:val="28"/>
              </w:rPr>
              <w:t xml:space="preserve">Туапсинского муниципального округа, по </w:t>
            </w:r>
            <w:r>
              <w:rPr>
                <w:rFonts w:ascii="Times New Roman" w:hAnsi="Times New Roman"/>
                <w:color w:val="000000"/>
                <w:sz w:val="28"/>
              </w:rPr>
              <w:t>профессиональному развитию в области противодействия коррупции не проводились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связанные с соблюдением антикоррупционных стандартов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2026 года</w:t>
            </w:r>
            <w:r>
              <w:rPr>
                <w:rFonts w:ascii="Times New Roman" w:hAnsi="Times New Roman"/>
                <w:sz w:val="28"/>
              </w:rPr>
              <w:t xml:space="preserve"> организованы мероприятия по профессиональному развитию в области противодействия коррупции для - 3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впервые поступивших на муниципальную службу, и замещающих должности, связанные с соблюдением антикоррупционных стандартов:</w:t>
            </w:r>
          </w:p>
          <w:p w14:paraId="2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проведено пять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очных</w:t>
            </w:r>
            <w:r>
              <w:rPr>
                <w:rFonts w:ascii="Times New Roman" w:hAnsi="Times New Roman"/>
                <w:sz w:val="28"/>
              </w:rPr>
              <w:t xml:space="preserve"> семинар-совещаний на тему «Инструктаж по вопросам противодействия коррупции для лиц, претендующих на замещение должностей муниципальной службы», на которых прошли первичный инструктаж - 3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впервые поступивших на муниципальную службу, и замещающих должности, связанные с соблюдением антикоррупционных стандартов.</w:t>
            </w:r>
          </w:p>
          <w:p w14:paraId="25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Мероприяти</w:t>
            </w:r>
            <w:r>
              <w:rPr>
                <w:rFonts w:ascii="Times New Roman" w:hAnsi="Times New Roman"/>
                <w:color w:val="000000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связанные с соблюдением антикоррупционных стандартов проводились сотрудниками администрации Туапсинского муниципального округа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tabs>
                <w:tab w:leader="none" w:pos="7200" w:val="left"/>
              </w:tabs>
              <w:spacing w:after="0" w:before="0" w:line="240" w:lineRule="auto"/>
              <w:ind w:firstLine="0" w:left="0" w:right="5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 отчетный период организованы мероприятия по профессиональному развитию в области противодействия коррупции для - 5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 в администрации Туапсинского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29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дистанционное обучение за счет средств краевого бюджета прошло - 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 области противодействия коррупции по программе управление государственными и муниципальными закупками в контрактной системе в объеме 36</w:t>
            </w:r>
            <w:r>
              <w:rPr>
                <w:rFonts w:ascii="Times New Roman" w:hAnsi="Times New Roman"/>
                <w:sz w:val="28"/>
              </w:rPr>
              <w:t xml:space="preserve"> и 120</w:t>
            </w:r>
            <w:r>
              <w:rPr>
                <w:rFonts w:ascii="Times New Roman" w:hAnsi="Times New Roman"/>
                <w:sz w:val="28"/>
              </w:rPr>
              <w:t xml:space="preserve"> часов.</w:t>
            </w:r>
          </w:p>
          <w:p w14:paraId="2A000000">
            <w:pPr>
              <w:widowControl w:val="0"/>
              <w:tabs>
                <w:tab w:leader="none" w:pos="7200" w:val="left"/>
              </w:tabs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бучение по дополнительной</w:t>
            </w:r>
            <w:r>
              <w:rPr>
                <w:rFonts w:ascii="Times New Roman" w:hAnsi="Times New Roman"/>
                <w:sz w:val="28"/>
              </w:rPr>
              <w:t xml:space="preserve"> профессиональн</w:t>
            </w:r>
            <w:r>
              <w:rPr>
                <w:rFonts w:ascii="Times New Roman" w:hAnsi="Times New Roman"/>
                <w:sz w:val="28"/>
              </w:rPr>
              <w:t xml:space="preserve">ой </w:t>
            </w:r>
            <w:r>
              <w:rPr>
                <w:rFonts w:ascii="Times New Roman" w:hAnsi="Times New Roman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в области противодействия коррупции для муниципальн</w:t>
            </w:r>
            <w:r>
              <w:rPr>
                <w:rFonts w:ascii="Times New Roman" w:hAnsi="Times New Roman"/>
                <w:sz w:val="28"/>
              </w:rPr>
              <w:t>ых</w:t>
            </w:r>
            <w:r>
              <w:rPr>
                <w:rFonts w:ascii="Times New Roman" w:hAnsi="Times New Roman"/>
                <w:sz w:val="28"/>
              </w:rPr>
              <w:t xml:space="preserve"> служащ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>, в должностные обязанности котор</w:t>
            </w:r>
            <w:r>
              <w:rPr>
                <w:rFonts w:ascii="Times New Roman" w:hAnsi="Times New Roman"/>
                <w:sz w:val="28"/>
              </w:rPr>
              <w:t>ых</w:t>
            </w:r>
            <w:r>
              <w:rPr>
                <w:rFonts w:ascii="Times New Roman" w:hAnsi="Times New Roman"/>
                <w:sz w:val="28"/>
              </w:rPr>
              <w:t xml:space="preserve"> входит участие в проведении закупок товаров, работ, услуг для об</w:t>
            </w:r>
            <w:r>
              <w:rPr>
                <w:rFonts w:ascii="Times New Roman" w:hAnsi="Times New Roman"/>
                <w:sz w:val="28"/>
              </w:rPr>
              <w:t xml:space="preserve">еспечения муниципальных </w:t>
            </w:r>
            <w:r>
              <w:rPr>
                <w:rFonts w:ascii="Times New Roman" w:hAnsi="Times New Roman"/>
                <w:sz w:val="28"/>
              </w:rPr>
              <w:t>нужд проходило в рамках программы лояльности «ТЭК-Бонус»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B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Дистанционное обучение по дополнительн</w:t>
            </w:r>
            <w:r>
              <w:rPr>
                <w:rFonts w:ascii="Times New Roman" w:hAnsi="Times New Roman"/>
                <w:sz w:val="28"/>
              </w:rPr>
              <w:t>ой профессиональной программе</w:t>
            </w:r>
            <w:r>
              <w:rPr>
                <w:rFonts w:ascii="Times New Roman" w:hAnsi="Times New Roman"/>
                <w:sz w:val="28"/>
              </w:rPr>
              <w:t xml:space="preserve"> в области противодейс</w:t>
            </w:r>
            <w:r>
              <w:rPr>
                <w:rFonts w:ascii="Times New Roman" w:hAnsi="Times New Roman"/>
                <w:sz w:val="28"/>
              </w:rPr>
              <w:t>твия коррупции для муниципальн</w:t>
            </w:r>
            <w:r>
              <w:rPr>
                <w:rFonts w:ascii="Times New Roman" w:hAnsi="Times New Roman"/>
                <w:sz w:val="28"/>
              </w:rPr>
              <w:t xml:space="preserve">ых </w:t>
            </w:r>
            <w:r>
              <w:rPr>
                <w:rFonts w:ascii="Times New Roman" w:hAnsi="Times New Roman"/>
                <w:sz w:val="28"/>
              </w:rPr>
              <w:t>служащ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>, в должностные обязанности котор</w:t>
            </w:r>
            <w:r>
              <w:rPr>
                <w:rFonts w:ascii="Times New Roman" w:hAnsi="Times New Roman"/>
                <w:sz w:val="28"/>
              </w:rPr>
              <w:t>ых</w:t>
            </w:r>
            <w:r>
              <w:rPr>
                <w:rFonts w:ascii="Times New Roman" w:hAnsi="Times New Roman"/>
                <w:sz w:val="28"/>
              </w:rPr>
              <w:t xml:space="preserve"> входит участие в проведении закупок товаров, работ, услуг для обеспечения муниципальных нужд </w:t>
            </w:r>
            <w:r>
              <w:rPr>
                <w:rFonts w:ascii="Times New Roman" w:hAnsi="Times New Roman"/>
                <w:sz w:val="28"/>
              </w:rPr>
              <w:t>проводил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и </w:t>
            </w:r>
            <w:r>
              <w:rPr>
                <w:rFonts w:ascii="Times New Roman" w:hAnsi="Times New Roman"/>
                <w:sz w:val="28"/>
              </w:rPr>
              <w:t>ОО</w:t>
            </w:r>
            <w:r>
              <w:rPr>
                <w:rFonts w:ascii="Times New Roman" w:hAnsi="Times New Roman"/>
                <w:sz w:val="28"/>
              </w:rPr>
              <w:t xml:space="preserve">О </w:t>
            </w:r>
            <w:r>
              <w:rPr>
                <w:rFonts w:ascii="Times New Roman" w:hAnsi="Times New Roman"/>
                <w:sz w:val="28"/>
              </w:rPr>
              <w:t>«И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терком</w:t>
            </w:r>
            <w:r>
              <w:rPr>
                <w:rFonts w:ascii="Times New Roman" w:hAnsi="Times New Roman"/>
                <w:sz w:val="28"/>
              </w:rPr>
              <w:t>» Центр консалдинга и сопровождения закупок «Госдоговор»</w:t>
            </w:r>
          </w:p>
        </w:tc>
      </w:tr>
      <w:tr>
        <w:trPr>
          <w:trHeight w:hRule="atLeast" w:val="35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 полугодии 2026 года проведен анализ сведений о доходах, об имуществе и обязательствах имущественного характера, представленных - 4 муниципальными служащими и - 0 руководителями муниципальных учреждений подведомственных администрации Туапсинского муниципального округа, претендующих на замещение должностей муниципальной службы.</w:t>
            </w:r>
          </w:p>
          <w:p w14:paraId="2F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результатам анализа </w:t>
            </w:r>
            <w:r>
              <w:rPr>
                <w:rFonts w:ascii="Times New Roman" w:hAnsi="Times New Roman"/>
                <w:sz w:val="28"/>
              </w:rPr>
              <w:t xml:space="preserve">сведений о доходах, об имуществе и обязательствах имущественного характера, представленных муниципальными служащими и руководителями муниципальных учреждений подведомственных администрации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фактов представления недостоверных и (или) неполных сведений за отчетный период не установлено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0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Лица, замещающие должности муниципальной службы в администрации Туапсинского муниципального округа и руководители муниципальных учреждений </w:t>
            </w:r>
            <w:r>
              <w:rPr>
                <w:rFonts w:ascii="Times New Roman" w:hAnsi="Times New Roman"/>
                <w:sz w:val="28"/>
              </w:rPr>
              <w:t>подают С</w:t>
            </w:r>
            <w:r>
              <w:rPr>
                <w:rFonts w:ascii="Times New Roman" w:hAnsi="Times New Roman"/>
                <w:sz w:val="28"/>
              </w:rPr>
              <w:t>ведения 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</w:t>
            </w:r>
            <w:r>
              <w:rPr>
                <w:rFonts w:ascii="Times New Roman" w:hAnsi="Times New Roman"/>
                <w:sz w:val="28"/>
              </w:rPr>
              <w:t xml:space="preserve">отором возникли такие основания, </w:t>
            </w:r>
            <w:r>
              <w:rPr>
                <w:rFonts w:ascii="Times New Roman" w:hAnsi="Times New Roman"/>
                <w:sz w:val="28"/>
              </w:rPr>
              <w:t>используя специальное программное обеспечение «Справка БК»</w:t>
            </w:r>
          </w:p>
          <w:p w14:paraId="31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>1 полугодии 2026 года</w:t>
            </w:r>
            <w:r>
              <w:rPr>
                <w:rFonts w:ascii="Times New Roman" w:hAnsi="Times New Roman"/>
                <w:sz w:val="28"/>
              </w:rPr>
              <w:t xml:space="preserve"> в связи с отсутствием поступившей достаточной информации, предоставленной в письменном виде от правоохранительных органов и иных государственных органов, отделом кадров администрации 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  <w:r>
              <w:rPr>
                <w:rFonts w:ascii="Times New Roman" w:hAnsi="Times New Roman"/>
                <w:sz w:val="28"/>
              </w:rPr>
              <w:t xml:space="preserve"> не проводилось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работы по рассмотрению уведомлений муниципальных служащих о факте обращения в целях склонения к совершению коррупционных правонарушений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в </w:t>
            </w:r>
            <w:r>
              <w:rPr>
                <w:rFonts w:ascii="Times New Roman" w:hAnsi="Times New Roman"/>
                <w:sz w:val="28"/>
              </w:rPr>
              <w:t>1 полугодии 2026 года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уведомлений муниципальных служащих о факте обращения в целях склонения к совершению коррупционных правонарушений не поступало, не рассматривались.</w:t>
            </w:r>
          </w:p>
          <w:p w14:paraId="38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Дополнительно муниципальные служащие информируются об обязательном и своевременном реагировании на все случаи склонения к совершению коррупционных правонарушений, на планерных совещаниях и через рассылку данной информации по электронной почте.</w:t>
            </w:r>
          </w:p>
          <w:p w14:paraId="3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Уведомления в органы прокуратуры или другие государственные органы о факте обращения в целях склонения муниципальных служащих к совершению коррупционных правонарушений не направлялись</w:t>
            </w:r>
          </w:p>
        </w:tc>
      </w:tr>
      <w:tr>
        <w:trPr>
          <w:trHeight w:hRule="atLeast" w:val="215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>1 полугодии 2026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поступило - </w:t>
            </w:r>
            <w:r>
              <w:rPr>
                <w:rFonts w:ascii="Times New Roman" w:hAnsi="Times New Roman"/>
                <w:color w:val="000000"/>
                <w:sz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уведомлени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о выполнении иной оплачиваемой работы от муниципальных служащих, которые были рассмотрены - Комиссией по соблюдению требований к служебному поведению муниципальными служащими и урегулированию конфликта интересов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состоящей из 7 членов комиссии, получено - </w:t>
            </w:r>
            <w:r>
              <w:rPr>
                <w:rFonts w:ascii="Times New Roman" w:hAnsi="Times New Roman"/>
                <w:color w:val="000000"/>
                <w:sz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положительных решений, - 0 отрицательных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3D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Все отраслевые органы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уведомлены о необходимости предварительного уведомления представителя нанимателя (работодателя) о выполнении иной оплачиваемой работы, через рассылку данной информации по электронной почте.</w:t>
            </w:r>
          </w:p>
          <w:p w14:paraId="3E000000">
            <w:pPr>
              <w:pStyle w:val="Style_5"/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Уведомления муниципальных служащих об информировании представителя нанимателя (работодателя) о выполнении иной оплачиваемой работы регистрируются в журнале номенклатурных дел по регистрации уведомлений представителя нанимателя (работодателя) о выполнении муниципальными служащими иной оплачиваемой работы.</w:t>
            </w:r>
          </w:p>
          <w:p w14:paraId="3F000000">
            <w:pPr>
              <w:pStyle w:val="Style_5"/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отчетном периоде муниципальные служащие, которые не уведомили или несвоевременно уведомили представителя нанимателя (работодателя) о выполнении иной оплачиваемой работы, отсутствуют</w:t>
            </w:r>
          </w:p>
        </w:tc>
      </w:tr>
      <w:tr>
        <w:trPr>
          <w:trHeight w:hRule="atLeast" w:val="63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  <w:p w14:paraId="42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Решением Совета муниципально</w:t>
            </w:r>
            <w:r>
              <w:rPr>
                <w:rFonts w:ascii="Times New Roman" w:hAnsi="Times New Roman"/>
                <w:sz w:val="28"/>
              </w:rPr>
              <w:t>го образования Туапсинский муниципальный округ Краснодарского края № 290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31 октяб</w:t>
            </w:r>
            <w:r>
              <w:rPr>
                <w:rFonts w:ascii="Times New Roman" w:hAnsi="Times New Roman"/>
                <w:sz w:val="28"/>
              </w:rPr>
              <w:t>ря 20</w:t>
            </w:r>
            <w:r>
              <w:rPr>
                <w:rFonts w:ascii="Times New Roman" w:hAnsi="Times New Roman"/>
                <w:sz w:val="28"/>
              </w:rPr>
              <w:t>25</w:t>
            </w:r>
            <w:r>
              <w:rPr>
                <w:rFonts w:ascii="Times New Roman" w:hAnsi="Times New Roman"/>
                <w:sz w:val="28"/>
              </w:rPr>
              <w:t xml:space="preserve"> г. принято Положение о </w:t>
            </w:r>
            <w:r>
              <w:rPr>
                <w:rFonts w:ascii="Times New Roman" w:hAnsi="Times New Roman"/>
                <w:sz w:val="28"/>
              </w:rPr>
              <w:t xml:space="preserve">порядке </w:t>
            </w:r>
            <w:r>
              <w:rPr>
                <w:rFonts w:ascii="Times New Roman" w:hAnsi="Times New Roman"/>
                <w:sz w:val="28"/>
              </w:rPr>
              <w:t>сообщени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главой Туапсинского муниципального округа, муниципальными служащими администрации 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о получении подарка в связи с </w:t>
            </w:r>
            <w:r>
              <w:rPr>
                <w:rFonts w:ascii="Times New Roman" w:hAnsi="Times New Roman"/>
                <w:sz w:val="28"/>
              </w:rPr>
      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      </w:r>
            <w:r>
              <w:rPr>
                <w:rFonts w:ascii="Times New Roman" w:hAnsi="Times New Roman"/>
                <w:sz w:val="28"/>
              </w:rPr>
              <w:t xml:space="preserve">, доведено до всех отраслевых органов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44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мониторинг исполнения принятого Положения проводится на постоянной основе.</w:t>
            </w:r>
          </w:p>
          <w:p w14:paraId="45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отчетном периоде</w:t>
            </w:r>
            <w:r>
              <w:rPr>
                <w:rFonts w:ascii="Times New Roman" w:hAnsi="Times New Roman"/>
                <w:sz w:val="28"/>
              </w:rPr>
              <w:t xml:space="preserve"> 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уведомлений о получении муниципальными служащими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не поступало.</w:t>
            </w:r>
          </w:p>
          <w:p w14:paraId="46000000">
            <w:pPr>
              <w:pStyle w:val="Style_5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контроль за выполнением муниципальными служащими обязанности сообщать в установленных случаях о получении ими подарков в связи с их должностным положением или в связи с исполнением ими служебных обязанностей, ведется на постоянной основе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исполнения муниципальными служащими обязанности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отчетный период</w:t>
            </w:r>
            <w:r>
              <w:rPr>
                <w:rFonts w:ascii="Times New Roman" w:hAnsi="Times New Roman"/>
                <w:sz w:val="28"/>
              </w:rPr>
              <w:t xml:space="preserve"> 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на постоянной основе проводился анализ соблюдения соответствующего антикоррупционного требования с использованием сведений, содержащихся в личных делах муниципальных служащих, специализированных базах данных, "открытых источниках" и информационно-телекоммуникационной сети "Интернет", так в отчетном периоде осуществлен мониторинг исполнения муниципальными служащими обязанности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интересов по вновь принятым на муниципальную службу, по - 4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 муниципальному служащему.</w:t>
            </w:r>
          </w:p>
          <w:p w14:paraId="4A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результате мониторинга, нарушения не выявлены, муниципальные служащие имеющие ценные бумаги для передачи в доверительное управление отсутствуют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отчетный период</w:t>
            </w:r>
            <w:r>
              <w:rPr>
                <w:rFonts w:ascii="Times New Roman" w:hAnsi="Times New Roman"/>
                <w:sz w:val="28"/>
              </w:rPr>
              <w:t xml:space="preserve"> 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на постоянной основе проводился анализ соблюдения соответствующего антикоррупционного требования с использованием сведений, содержащихся в личных делах муниципальных служащих, специализированных базах данных, "открытых источниках", информационно-телекоммуникационной сети "Интернет", так в отчетном периоде осуществлен мониторинг соблюдения порядка участия лиц, замещающих должности муниципальной службы, в управлении коммерческими и некоммерческими организациями по вновь принятым на муниципальную службу, по - 4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 муниципальному служащему.</w:t>
            </w:r>
          </w:p>
          <w:p w14:paraId="4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результате мониторинга, нарушения не выявлены, заявлений о разрешении на участие в управлении коммерческими (некоммерческими) организациями от муниципальных служащих не поступало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5"/>
              <w:tabs>
                <w:tab w:leader="none" w:pos="7200" w:val="left"/>
              </w:tabs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рамках правового антикоррупционного просвещения муниципальных служащих, осуществляемую должностными лицами, ответственными за профилактику коррупционных и иных правонарушений - руководителями отраслевых органов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проводится </w:t>
            </w:r>
            <w:r>
              <w:rPr>
                <w:rFonts w:ascii="Times New Roman" w:hAnsi="Times New Roman"/>
                <w:color w:val="000000"/>
                <w:sz w:val="28"/>
              </w:rPr>
              <w:t>информационно-разъяснительная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работа с муниципальными служащими на еженедельных планерных совещаниях, с целью формирования антикоррупционного поведения.</w:t>
            </w:r>
          </w:p>
          <w:p w14:paraId="52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 поступлении на муниципальную службу с гражданами, претендующими на замещение должностей муниципальной службы, проводится индивидуальная профилактическая беседа по формированию негативного отношения к дарению подарков и коррупционным правонарушениям.</w:t>
            </w:r>
          </w:p>
          <w:p w14:paraId="5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Также в отчетном периоде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 сотрудниками вновь принятыми на муниципальную службу, ежемесячно проводятся групповые обучающие семинары на тему - П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ротиводействие коррупции для лиц,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претендующих на замещение должностей муниципальной службы и должностей, не являющихся должностями муниципальной службы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её отраслевых (функциональных) и территориальных органов, а также на замещение должностей руководителей муниципальных учреждений, учредителями которых являются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и её отраслевые (функциональные) и территориальные органы, так проведено 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семинар-совещани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 которых всего присутствовало - 3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служащих:</w:t>
            </w:r>
          </w:p>
          <w:p w14:paraId="5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- 23</w:t>
            </w:r>
            <w:r>
              <w:rPr>
                <w:rFonts w:ascii="Times New Roman" w:hAnsi="Times New Roman"/>
                <w:color w:val="000000"/>
                <w:sz w:val="28"/>
              </w:rPr>
              <w:t>.01.2026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- </w:t>
            </w: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муниципальный служащий;</w:t>
            </w:r>
          </w:p>
          <w:p w14:paraId="55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</w:rPr>
              <w:t>.0</w:t>
            </w:r>
            <w:r>
              <w:rPr>
                <w:rFonts w:ascii="Times New Roman" w:hAnsi="Times New Roman"/>
                <w:color w:val="000000"/>
                <w:sz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</w:rPr>
              <w:t>.2026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- 2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6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- 20.03.2026 г. - 4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7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- 24.04.2026 г. - 12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8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- 19.06.2026 г. - 16 муниципальных служащих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59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 обучающих семинарах раздаются информационные материалы с разъяснениями и требованиями антикоррупционного законодательства РФ, а также статьи УК РФ в рамках которых предусмотрена ответственность за нарушения антикоррупционного законодательства РФ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в установленном порядке антикоррупционной экспертизы проектов муниципальных нормативных правовых актов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правовым управлением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подготовлено - </w:t>
            </w:r>
            <w:r>
              <w:rPr>
                <w:rFonts w:ascii="Times New Roman" w:hAnsi="Times New Roman"/>
                <w:color w:val="000000"/>
                <w:sz w:val="28"/>
              </w:rPr>
              <w:t>103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проектов нормативных правовых актов, в отношении - </w:t>
            </w:r>
            <w:r>
              <w:rPr>
                <w:rFonts w:ascii="Times New Roman" w:hAnsi="Times New Roman"/>
                <w:color w:val="000000"/>
                <w:sz w:val="28"/>
              </w:rPr>
              <w:t>103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нормативных правовых актов проведена антикоррупционная экспертиза:</w:t>
            </w:r>
          </w:p>
          <w:p w14:paraId="5D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Коррупциогенные факторы, в проектах нормативных правовых актах не обнаружены и акты рекомендованы к принятию;</w:t>
            </w:r>
          </w:p>
          <w:p w14:paraId="5E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Положительных заключений - </w:t>
            </w:r>
            <w:r>
              <w:rPr>
                <w:rFonts w:ascii="Times New Roman" w:hAnsi="Times New Roman"/>
                <w:color w:val="000000"/>
                <w:sz w:val="28"/>
              </w:rPr>
              <w:t>103</w:t>
            </w:r>
            <w:r>
              <w:rPr>
                <w:rFonts w:ascii="Times New Roman" w:hAnsi="Times New Roman"/>
                <w:color w:val="000000"/>
                <w:sz w:val="28"/>
              </w:rPr>
              <w:t>, отрицательных - 0.</w:t>
            </w:r>
          </w:p>
          <w:p w14:paraId="5F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Подготовленных аккредитованными в установленном порядке независимыми экспертами, нормативных правовых актов - 0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в установленном порядке мониторинга правоприменения муниципальных нормативных правовых актов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соответствии с постановлением администрации муниципального образования Туапсинский район № </w:t>
            </w:r>
            <w:r>
              <w:rPr>
                <w:rFonts w:ascii="Times New Roman" w:hAnsi="Times New Roman"/>
                <w:sz w:val="28"/>
              </w:rPr>
              <w:t xml:space="preserve">1460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</w:rPr>
              <w:t>16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сентябр</w:t>
            </w:r>
            <w:r>
              <w:rPr>
                <w:rFonts w:ascii="Times New Roman" w:hAnsi="Times New Roman"/>
                <w:color w:val="000000"/>
                <w:sz w:val="28"/>
              </w:rPr>
              <w:t>я 20</w:t>
            </w:r>
            <w:r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«О проведении антикоррупционной экспертизы муниципальных правовых актов и проектов муниципальных правовых актов МО Туапсинский район», правовым управлением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целях реализации антикоррупционной политики и устранения коррупциогенных факторов проводит на постоянной основе мониторинг правоприменения муниципальных нормативных правовых актов, нарушений в </w:t>
            </w:r>
            <w:r>
              <w:rPr>
                <w:rFonts w:ascii="Times New Roman" w:hAnsi="Times New Roman"/>
                <w:color w:val="000000"/>
                <w:sz w:val="28"/>
              </w:rPr>
              <w:t>отчетном периоде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Принятие (издание), изменение или признание утратившими силу (отмена) муниципальных нормативных правовых актов, направленных на устранение нарушений, выявленных при мониторинге правоприменения</w:t>
            </w:r>
          </w:p>
          <w:p w14:paraId="65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Правовое управление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 постоянной основе обеспечивает рассмотрение вопросов правоприменительной практики, по результатам вступивших в законную силу решений судов, арбитражных судов о признании недействительными ненормативных правовых актов, незаконных решений и действий (бездействия)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, подведомственных организаций и их должностных лиц.</w:t>
            </w:r>
          </w:p>
          <w:p w14:paraId="67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результате мониторинга в 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нарушений правоприменительной практики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</w:rPr>
              <w:t>прав</w:t>
            </w:r>
            <w:r>
              <w:rPr>
                <w:rFonts w:ascii="Times New Roman" w:hAnsi="Times New Roman"/>
                <w:color w:val="000000"/>
                <w:sz w:val="28"/>
              </w:rPr>
              <w:t>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ением имущественных отношений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проводились мероприятия обязательным условием которых, в случае вовлечения в сделку объектов оценки, принадлежащих муниципальному образованию, является проведение рыночной оценки объектов. Определение стоимости таких объектов осуществляется в соответствии с Федеральным законом № 135-ФЗ от 29 июля 1998 г. «Об оценочной деятельности в Российской Федерации», нарушений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соблюдения законодательства Российской Федерации о противодействии коррупции в муниципальных унитарных предприятиях и муниципальных учреждениях</w:t>
            </w:r>
          </w:p>
          <w:p w14:paraId="6D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sz w:val="28"/>
              </w:rPr>
              <w:t xml:space="preserve"> отраслевыми органами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проводился мониторинг соблюдения законодательства РФ о противодействии коррупции в муниципальных унитарных предприятиях и муниципальных учреждениях на постоянной основе, в соответствии с принятыми в данных учреждениях нормативными документами по противодействию коррупции, нарушений в отчетном периоде </w:t>
            </w:r>
            <w:r>
              <w:rPr>
                <w:rFonts w:ascii="Times New Roman" w:hAnsi="Times New Roman"/>
                <w:color w:val="000000"/>
                <w:sz w:val="28"/>
              </w:rPr>
              <w:t>не установлено.</w:t>
            </w:r>
          </w:p>
          <w:p w14:paraId="6F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1 полугодии 2026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на должности вновь поступивших руководителей муниципальных учреждений, подведомственных администрации Туапсинского муниципального округа, предоставили в установленном порядке сведения о доходах, об имуществе и обязательствах имущественного характера - </w:t>
            </w: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руководитель муниципального учреждения.</w:t>
            </w:r>
          </w:p>
          <w:p w14:paraId="70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результате анализа сведений о доходах, об имуществе и обязательствах имущественного характера, поданных вновь принятыми на должности руководителей муниципальных учреждений, проанализированы - 1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сведения о доходах, об имуществе и обязательствах имущественного характера. Информация на официальном сайте администрации </w:t>
            </w:r>
            <w:r>
              <w:rPr>
                <w:rFonts w:ascii="Times New Roman" w:hAnsi="Times New Roman"/>
                <w:color w:val="000000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размещалась на основании Указа Президента РФ от 29.12.2022 № 968 «Об особенностях исполнения обязанностей, соблюдения ограничений и запретов в области противодействия коррупции...» размещенного по следующей ссылке:</w:t>
            </w:r>
          </w:p>
          <w:p w14:paraId="71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instrText>HYPERLINK "https://tuapseregion.ru/upload/iblock/ca5/jw0xxfpifq8para8x5mgbwfzvqrukbox.pdf"</w:instrText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t>https://tuapseregion.ru/upload/iblock/ca5/jw0xxfpifq8para8x5mgbwfzvqrukbox.pdf</w:t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end"/>
            </w:r>
          </w:p>
        </w:tc>
      </w:tr>
      <w:tr>
        <w:trPr>
          <w:trHeight w:hRule="atLeast" w:val="841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1 полугодии </w:t>
            </w:r>
            <w:r>
              <w:rPr>
                <w:rFonts w:ascii="Times New Roman" w:hAnsi="Times New Roman"/>
                <w:color w:val="000000"/>
                <w:sz w:val="28"/>
              </w:rPr>
              <w:t>2026 год</w:t>
            </w:r>
            <w:r>
              <w:rPr>
                <w:rFonts w:ascii="Times New Roman" w:hAnsi="Times New Roman"/>
                <w:sz w:val="28"/>
              </w:rPr>
              <w:t xml:space="preserve">а информация по коррупционным правонарушениям принималась отделом по работе с обращениями граждан (общественная приемная)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и на телефон «горячей линии»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>, деятельность осуществляется в соответствии с Постановлениями администрации МО Туапсинский район        № 1583 от 29 сентября 2021 г. «О внесении изменений в постановление администрации муниципального образования Туапсинский район № 1551 от 25 сентября 2018 г. «Об утверждении Плана мероприятий по противодействию коррупции в муниципальном образовании Туапсинский район»», № 550 от 30 апреля 2020 г. «</w:t>
            </w:r>
            <w:r>
              <w:rPr>
                <w:rFonts w:ascii="Times New Roman" w:hAnsi="Times New Roman"/>
                <w:sz w:val="28"/>
              </w:rPr>
              <w:t xml:space="preserve">О внесении изменения в постановление администрации муниципального образования Туапсинский район № 1164 от 15 апреля 2013 г.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коррупции»» </w:t>
            </w:r>
            <w:r>
              <w:rPr>
                <w:rFonts w:ascii="Times New Roman" w:hAnsi="Times New Roman"/>
                <w:sz w:val="28"/>
              </w:rPr>
              <w:t>и № 1972                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коррупции»».</w:t>
            </w:r>
          </w:p>
          <w:p w14:paraId="75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отчетном периоде информации о возможных коррупционных правонарушениях сотрудников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не поступало</w:t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3. Совершенствование взаимодействия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</w:p>
          <w:p w14:paraId="77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 средствами массовой информации, населением и институтами гражданского общества </w:t>
            </w:r>
          </w:p>
          <w:p w14:paraId="78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вопроса</w:t>
            </w:r>
            <w:r>
              <w:rPr>
                <w:rFonts w:ascii="Times New Roman" w:hAnsi="Times New Roman"/>
                <w:color w:val="000000"/>
                <w:sz w:val="28"/>
              </w:rPr>
              <w:t>м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противодействия коррупции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0"/>
              <w:tabs>
                <w:tab w:leader="none" w:pos="5134" w:val="left"/>
              </w:tabs>
              <w:spacing w:after="0" w:before="0" w:line="240" w:lineRule="auto"/>
              <w:ind w:firstLine="0" w:left="0" w:right="16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и продвижение социальной антикоррупционной рекламы, осуществление комплекса иных информационно-просветительских мероприятий антикоррупционной направленности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 xml:space="preserve">1 полугодии </w:t>
            </w:r>
            <w:r>
              <w:rPr>
                <w:rFonts w:ascii="Times New Roman" w:hAnsi="Times New Roman"/>
                <w:color w:val="000000"/>
                <w:sz w:val="28"/>
              </w:rPr>
              <w:t>2026 год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на регулярной основе - 6</w:t>
            </w:r>
            <w:r>
              <w:rPr>
                <w:rFonts w:ascii="Times New Roman" w:hAnsi="Times New Roman"/>
                <w:sz w:val="28"/>
              </w:rPr>
              <w:t xml:space="preserve"> раз (ежемесячно), в </w:t>
            </w:r>
            <w:r>
              <w:rPr>
                <w:rFonts w:ascii="Times New Roman" w:hAnsi="Times New Roman"/>
                <w:sz w:val="28"/>
              </w:rPr>
              <w:t xml:space="preserve">Туапсинском муниципальном округе в </w:t>
            </w:r>
            <w:r>
              <w:rPr>
                <w:rFonts w:ascii="Times New Roman" w:hAnsi="Times New Roman"/>
                <w:sz w:val="28"/>
              </w:rPr>
              <w:t>муниципальной газете (сетевом издании)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«Туапсинские вести»,</w:t>
            </w:r>
            <w:r>
              <w:rPr>
                <w:rFonts w:ascii="Times New Roman" w:hAnsi="Times New Roman"/>
                <w:sz w:val="28"/>
              </w:rPr>
              <w:t xml:space="preserve"> размещалась информация о мероприятиях по противодействию коррупции и требованиях антикоррупционного законодательства РФ, а также ответственность за нарушение антикоррупционного законодательства РФ (УК РФ от 13.06.1996 г. № 63-ФЗ, по статьям № 290, 291, 291.1, 291.2)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 xml:space="preserve">1 полугодии </w:t>
            </w:r>
            <w:r>
              <w:rPr>
                <w:rFonts w:ascii="Times New Roman" w:hAnsi="Times New Roman"/>
                <w:color w:val="000000"/>
                <w:sz w:val="28"/>
              </w:rPr>
              <w:t>2026 год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администрацией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заключались соглашения с некоммерческими организациями, уставная деятельность которых связана с противодействием коррупции, в связи с отсутствием таковых на территории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7F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 xml:space="preserve">1 полугодии </w:t>
            </w:r>
            <w:r>
              <w:rPr>
                <w:rFonts w:ascii="Times New Roman" w:hAnsi="Times New Roman"/>
                <w:color w:val="000000"/>
                <w:sz w:val="28"/>
              </w:rPr>
              <w:t>2026 год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администрацией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с муниципальными служащими проведено 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семинар-совещани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 вопросам противодействия коррупции, а также 6 раз по ежемесячному информационно-разъяснительному информированию граждан через средства массовой информации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(муниципальной газете (сетевом издании) «Туапсинские вести»), в эфире ИТРК «Туапсе» и телеканала «Туапсе 24» при взаимодействии с правоохранительными органами и при поддержке администрации Туапсинского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, выходили сюжеты антикоррупционной направленности, в информационно-</w:t>
            </w:r>
            <w:r>
              <w:rPr>
                <w:rFonts w:ascii="Times New Roman" w:hAnsi="Times New Roman"/>
                <w:color w:val="000000"/>
                <w:sz w:val="28"/>
              </w:rPr>
              <w:t>телекоммуникационной сети «Интернет» размещалась информация о требованиях законодательства РФ по противодействию коррупции, для создания в обществе атмосферы нетерпимости к коррупционным правонарушениям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80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муниципальном образовании </w:t>
            </w:r>
            <w:r>
              <w:rPr>
                <w:rFonts w:ascii="Times New Roman" w:hAnsi="Times New Roman"/>
                <w:sz w:val="28"/>
              </w:rPr>
              <w:t>Туапсинский муниципальный округ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 действует </w:t>
            </w:r>
            <w:r>
              <w:rPr>
                <w:rFonts w:ascii="Times New Roman" w:hAnsi="Times New Roman"/>
                <w:sz w:val="28"/>
              </w:rPr>
              <w:t xml:space="preserve">Совет Общественной палаты муниципального образования </w:t>
            </w:r>
            <w:r>
              <w:rPr>
                <w:rFonts w:ascii="Times New Roman" w:hAnsi="Times New Roman"/>
                <w:sz w:val="28"/>
              </w:rPr>
              <w:t>Туапсинский муниципальный округ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Заключений по результатам общественной экспертизы социально-значимых решений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в </w:t>
            </w:r>
            <w:r>
              <w:rPr>
                <w:rFonts w:ascii="Times New Roman" w:hAnsi="Times New Roman"/>
                <w:sz w:val="28"/>
              </w:rPr>
              <w:t xml:space="preserve">1 полугодии </w:t>
            </w:r>
            <w:r>
              <w:rPr>
                <w:rFonts w:ascii="Times New Roman" w:hAnsi="Times New Roman"/>
                <w:color w:val="000000"/>
                <w:sz w:val="28"/>
              </w:rPr>
              <w:t>2026 год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не поступало</w:t>
            </w:r>
          </w:p>
        </w:tc>
      </w:tr>
    </w:tbl>
    <w:p w14:paraId="81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2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sectPr>
      <w:headerReference r:id="rId2" w:type="default"/>
      <w:headerReference r:id="rId1" w:type="first"/>
      <w:pgSz w:h="11908" w:orient="landscape" w:w="16848"/>
      <w:pgMar w:bottom="567" w:footer="708" w:header="709" w:left="1134" w:right="567" w:top="1701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Fonts w:ascii="Times New Roman" w:hAnsi="Times New Roman"/>
        <w:sz w:val="28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6_ch" w:type="character">
    <w:name w:val="Normal"/>
    <w:link w:val="Style_6"/>
    <w:rPr>
      <w:rFonts w:ascii="Calibri" w:hAnsi="Calibri"/>
      <w:color w:val="000000"/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Заголовок таблицы"/>
    <w:basedOn w:val="Style_13"/>
    <w:link w:val="Style_12_ch"/>
    <w:pPr>
      <w:ind/>
      <w:jc w:val="center"/>
    </w:pPr>
    <w:rPr>
      <w:b w:val="1"/>
    </w:rPr>
  </w:style>
  <w:style w:styleId="Style_12_ch" w:type="character">
    <w:name w:val="Заголовок таблицы"/>
    <w:basedOn w:val="Style_13_ch"/>
    <w:link w:val="Style_12"/>
    <w:rPr>
      <w:b w:val="1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6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Указатель"/>
    <w:basedOn w:val="Style_6"/>
    <w:link w:val="Style_16_ch"/>
    <w:rPr>
      <w:rFonts w:ascii="Times New Roman" w:hAnsi="Times New Roman"/>
    </w:rPr>
  </w:style>
  <w:style w:styleId="Style_16_ch" w:type="character">
    <w:name w:val="Указатель"/>
    <w:basedOn w:val="Style_6_ch"/>
    <w:link w:val="Style_16"/>
    <w:rPr>
      <w:rFonts w:ascii="Times New Roman" w:hAnsi="Times New Roman"/>
    </w:rPr>
  </w:style>
  <w:style w:styleId="Style_17" w:type="paragraph">
    <w:name w:val="FollowedHyperlink"/>
    <w:link w:val="Style_17_ch"/>
    <w:rPr>
      <w:color w:val="800000"/>
      <w:u w:val="single"/>
    </w:rPr>
  </w:style>
  <w:style w:styleId="Style_17_ch" w:type="character">
    <w:name w:val="FollowedHyperlink"/>
    <w:link w:val="Style_17"/>
    <w:rPr>
      <w:color w:val="800000"/>
      <w:u w:val="single"/>
    </w:rPr>
  </w:style>
  <w:style w:styleId="Style_18" w:type="paragraph">
    <w:name w:val="Заголовок"/>
    <w:basedOn w:val="Style_6"/>
    <w:next w:val="Style_19"/>
    <w:link w:val="Style_18_ch"/>
    <w:pPr>
      <w:keepNext w:val="1"/>
      <w:spacing w:after="120" w:before="240"/>
      <w:ind/>
    </w:pPr>
    <w:rPr>
      <w:rFonts w:ascii="Times New Roman" w:hAnsi="Times New Roman"/>
      <w:sz w:val="32"/>
    </w:rPr>
  </w:style>
  <w:style w:styleId="Style_18_ch" w:type="character">
    <w:name w:val="Заголовок"/>
    <w:basedOn w:val="Style_6_ch"/>
    <w:link w:val="Style_18"/>
    <w:rPr>
      <w:rFonts w:ascii="Times New Roman" w:hAnsi="Times New Roman"/>
      <w:sz w:val="32"/>
    </w:rPr>
  </w:style>
  <w:style w:styleId="Style_19" w:type="paragraph">
    <w:name w:val="Body Text"/>
    <w:basedOn w:val="Style_6"/>
    <w:link w:val="Style_19_ch"/>
    <w:pPr>
      <w:spacing w:after="140" w:before="0" w:line="276" w:lineRule="auto"/>
      <w:ind/>
    </w:pPr>
  </w:style>
  <w:style w:styleId="Style_19_ch" w:type="character">
    <w:name w:val="Body Text"/>
    <w:basedOn w:val="Style_6_ch"/>
    <w:link w:val="Style_19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5" w:type="paragraph">
    <w:name w:val="ConsPlusNormal"/>
    <w:link w:val="Style_5_ch"/>
    <w:pPr>
      <w:widowControl w:val="0"/>
      <w:ind/>
    </w:pPr>
    <w:rPr>
      <w:rFonts w:ascii="Arial" w:hAnsi="Arial"/>
      <w:color w:val="000000"/>
      <w:sz w:val="20"/>
    </w:rPr>
  </w:style>
  <w:style w:styleId="Style_5_ch" w:type="character">
    <w:name w:val="ConsPlusNormal"/>
    <w:link w:val="Style_5"/>
    <w:rPr>
      <w:rFonts w:ascii="Arial" w:hAnsi="Arial"/>
      <w:color w:val="000000"/>
      <w:sz w:val="20"/>
    </w:rPr>
  </w:style>
  <w:style w:styleId="Style_21" w:type="paragraph">
    <w:name w:val="ConsNonformat"/>
    <w:link w:val="Style_21_ch"/>
    <w:pPr>
      <w:widowControl w:val="0"/>
      <w:ind/>
    </w:pPr>
    <w:rPr>
      <w:rFonts w:ascii="Courier New" w:hAnsi="Courier New"/>
      <w:color w:val="000000"/>
      <w:sz w:val="20"/>
    </w:rPr>
  </w:style>
  <w:style w:styleId="Style_21_ch" w:type="character">
    <w:name w:val="ConsNonformat"/>
    <w:link w:val="Style_21"/>
    <w:rPr>
      <w:rFonts w:ascii="Courier New" w:hAnsi="Courier New"/>
      <w:color w:val="000000"/>
      <w:sz w:val="20"/>
    </w:rPr>
  </w:style>
  <w:style w:styleId="Style_13" w:type="paragraph">
    <w:name w:val="Содержимое таблицы"/>
    <w:basedOn w:val="Style_6"/>
    <w:link w:val="Style_13_ch"/>
  </w:style>
  <w:style w:styleId="Style_13_ch" w:type="character">
    <w:name w:val="Содержимое таблицы"/>
    <w:basedOn w:val="Style_6_ch"/>
    <w:link w:val="Style_13"/>
  </w:style>
  <w:style w:styleId="Style_22" w:type="paragraph">
    <w:name w:val="toc 3"/>
    <w:next w:val="Style_6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caption"/>
    <w:basedOn w:val="Style_6"/>
    <w:link w:val="Style_23_ch"/>
    <w:pPr>
      <w:spacing w:after="120" w:before="120"/>
      <w:ind/>
    </w:pPr>
    <w:rPr>
      <w:rFonts w:ascii="Times New Roman" w:hAnsi="Times New Roman"/>
      <w:i w:val="1"/>
      <w:sz w:val="28"/>
    </w:rPr>
  </w:style>
  <w:style w:styleId="Style_23_ch" w:type="character">
    <w:name w:val="caption"/>
    <w:basedOn w:val="Style_6_ch"/>
    <w:link w:val="Style_23"/>
    <w:rPr>
      <w:rFonts w:ascii="Times New Roman" w:hAnsi="Times New Roman"/>
      <w:i w:val="1"/>
      <w:sz w:val="28"/>
    </w:rPr>
  </w:style>
  <w:style w:styleId="Style_24" w:type="paragraph">
    <w:name w:val="Style5"/>
    <w:basedOn w:val="Style_6"/>
    <w:link w:val="Style_24_ch"/>
    <w:pPr>
      <w:widowControl w:val="0"/>
      <w:spacing w:after="0" w:before="0" w:line="240" w:lineRule="auto"/>
      <w:ind/>
    </w:pPr>
    <w:rPr>
      <w:rFonts w:ascii="Times New Roman" w:hAnsi="Times New Roman"/>
      <w:sz w:val="24"/>
    </w:rPr>
  </w:style>
  <w:style w:styleId="Style_24_ch" w:type="character">
    <w:name w:val="Style5"/>
    <w:basedOn w:val="Style_6_ch"/>
    <w:link w:val="Style_24"/>
    <w:rPr>
      <w:rFonts w:ascii="Times New Roman" w:hAnsi="Times New Roman"/>
      <w:sz w:val="24"/>
    </w:rPr>
  </w:style>
  <w:style w:styleId="Style_25" w:type="paragraph">
    <w:name w:val="heading 5"/>
    <w:next w:val="Style_6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26" w:type="paragraph">
    <w:name w:val="heading 1"/>
    <w:next w:val="Style_6"/>
    <w:link w:val="Style_2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27" w:type="paragraph">
    <w:name w:val="Верхний и нижний колонтитулы"/>
    <w:basedOn w:val="Style_6"/>
    <w:link w:val="Style_27_ch"/>
    <w:pPr>
      <w:tabs>
        <w:tab w:leader="none" w:pos="4819" w:val="center"/>
        <w:tab w:leader="none" w:pos="9638" w:val="right"/>
      </w:tabs>
      <w:ind/>
    </w:pPr>
  </w:style>
  <w:style w:styleId="Style_27_ch" w:type="character">
    <w:name w:val="Верхний и нижний колонтитулы"/>
    <w:basedOn w:val="Style_6_ch"/>
    <w:link w:val="Style_27"/>
  </w:style>
  <w:style w:styleId="Style_28" w:type="paragraph">
    <w:name w:val="Верхний колонтитул Знак"/>
    <w:basedOn w:val="Style_11"/>
    <w:link w:val="Style_28_ch"/>
  </w:style>
  <w:style w:styleId="Style_28_ch" w:type="character">
    <w:name w:val="Верхний колонтитул Знак"/>
    <w:basedOn w:val="Style_11_ch"/>
    <w:link w:val="Style_28"/>
  </w:style>
  <w:style w:styleId="Style_4" w:type="paragraph">
    <w:name w:val="Hyperlink"/>
    <w:link w:val="Style_4_ch"/>
    <w:rPr>
      <w:color w:val="000080"/>
      <w:u w:val="single"/>
    </w:rPr>
  </w:style>
  <w:style w:styleId="Style_4_ch" w:type="character">
    <w:name w:val="Hyperlink"/>
    <w:link w:val="Style_4"/>
    <w:rPr>
      <w:color w:val="000080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Текст выноски Знак"/>
    <w:link w:val="Style_30_ch"/>
    <w:rPr>
      <w:rFonts w:ascii="Tahoma" w:hAnsi="Tahoma"/>
      <w:sz w:val="16"/>
    </w:rPr>
  </w:style>
  <w:style w:styleId="Style_30_ch" w:type="character">
    <w:name w:val="Текст выноски Знак"/>
    <w:link w:val="Style_30"/>
    <w:rPr>
      <w:rFonts w:ascii="Tahoma" w:hAnsi="Tahoma"/>
      <w:sz w:val="16"/>
    </w:rPr>
  </w:style>
  <w:style w:styleId="Style_31" w:type="paragraph">
    <w:name w:val="toc 1"/>
    <w:next w:val="Style_6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33" w:type="paragraph">
    <w:name w:val="Название объекта"/>
    <w:basedOn w:val="Style_6"/>
    <w:link w:val="Style_33_ch"/>
    <w:pPr>
      <w:spacing w:after="120" w:before="120"/>
      <w:ind/>
    </w:pPr>
    <w:rPr>
      <w:rFonts w:ascii="Times New Roman" w:hAnsi="Times New Roman"/>
      <w:i w:val="1"/>
      <w:sz w:val="28"/>
    </w:rPr>
  </w:style>
  <w:style w:styleId="Style_33_ch" w:type="character">
    <w:name w:val="Название объекта"/>
    <w:basedOn w:val="Style_6_ch"/>
    <w:link w:val="Style_33"/>
    <w:rPr>
      <w:rFonts w:ascii="Times New Roman" w:hAnsi="Times New Roman"/>
      <w:i w:val="1"/>
      <w:sz w:val="28"/>
    </w:rPr>
  </w:style>
  <w:style w:styleId="Style_34" w:type="paragraph">
    <w:name w:val="List"/>
    <w:basedOn w:val="Style_19"/>
    <w:link w:val="Style_34_ch"/>
    <w:rPr>
      <w:rFonts w:ascii="Times New Roman" w:hAnsi="Times New Roman"/>
    </w:rPr>
  </w:style>
  <w:style w:styleId="Style_34_ch" w:type="character">
    <w:name w:val="List"/>
    <w:basedOn w:val="Style_19_ch"/>
    <w:link w:val="Style_34"/>
    <w:rPr>
      <w:rFonts w:ascii="Times New Roman" w:hAnsi="Times New Roman"/>
    </w:rPr>
  </w:style>
  <w:style w:styleId="Style_35" w:type="paragraph">
    <w:name w:val="Основной шрифт абзаца"/>
    <w:link w:val="Style_35_ch"/>
  </w:style>
  <w:style w:styleId="Style_35_ch" w:type="character">
    <w:name w:val="Основной шрифт абзаца"/>
    <w:link w:val="Style_35"/>
  </w:style>
  <w:style w:styleId="Style_36" w:type="paragraph">
    <w:name w:val="Указатель1"/>
    <w:basedOn w:val="Style_6"/>
    <w:link w:val="Style_36_ch"/>
    <w:rPr>
      <w:rFonts w:ascii="Times New Roman" w:hAnsi="Times New Roman"/>
    </w:rPr>
  </w:style>
  <w:style w:styleId="Style_36_ch" w:type="character">
    <w:name w:val="Указатель1"/>
    <w:basedOn w:val="Style_6_ch"/>
    <w:link w:val="Style_36"/>
    <w:rPr>
      <w:rFonts w:ascii="Times New Roman" w:hAnsi="Times New Roman"/>
    </w:rPr>
  </w:style>
  <w:style w:styleId="Style_37" w:type="paragraph">
    <w:name w:val="toc 9"/>
    <w:next w:val="Style_6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Нижний колонтитул Знак"/>
    <w:basedOn w:val="Style_11"/>
    <w:link w:val="Style_38_ch"/>
  </w:style>
  <w:style w:styleId="Style_38_ch" w:type="character">
    <w:name w:val="Нижний колонтитул Знак"/>
    <w:basedOn w:val="Style_11_ch"/>
    <w:link w:val="Style_38"/>
  </w:style>
  <w:style w:styleId="Style_39" w:type="paragraph">
    <w:name w:val="footer"/>
    <w:basedOn w:val="Style_6"/>
    <w:link w:val="Style_39_ch"/>
    <w:pPr>
      <w:spacing w:after="0" w:before="0" w:line="240" w:lineRule="auto"/>
      <w:ind/>
    </w:pPr>
  </w:style>
  <w:style w:styleId="Style_39_ch" w:type="character">
    <w:name w:val="footer"/>
    <w:basedOn w:val="Style_6_ch"/>
    <w:link w:val="Style_39"/>
  </w:style>
  <w:style w:styleId="Style_40" w:type="paragraph">
    <w:name w:val="toc 8"/>
    <w:next w:val="Style_6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spacing w:after="0" w:before="0" w:line="240" w:lineRule="auto"/>
      <w:ind/>
    </w:pPr>
  </w:style>
  <w:style w:styleId="Style_1_ch" w:type="character">
    <w:name w:val="header"/>
    <w:basedOn w:val="Style_6_ch"/>
    <w:link w:val="Style_1"/>
  </w:style>
  <w:style w:styleId="Style_41" w:type="paragraph">
    <w:name w:val="ConsPlusCell"/>
    <w:link w:val="Style_41_ch"/>
    <w:pPr>
      <w:widowControl w:val="0"/>
      <w:ind/>
    </w:pPr>
    <w:rPr>
      <w:rFonts w:ascii="Times New Roman" w:hAnsi="Times New Roman"/>
      <w:color w:val="000000"/>
      <w:sz w:val="24"/>
    </w:rPr>
  </w:style>
  <w:style w:styleId="Style_41_ch" w:type="character">
    <w:name w:val="ConsPlusCell"/>
    <w:link w:val="Style_41"/>
    <w:rPr>
      <w:rFonts w:ascii="Times New Roman" w:hAnsi="Times New Roman"/>
      <w:color w:val="000000"/>
      <w:sz w:val="24"/>
    </w:rPr>
  </w:style>
  <w:style w:styleId="Style_42" w:type="paragraph">
    <w:name w:val="toc 5"/>
    <w:next w:val="Style_6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Subtitle"/>
    <w:next w:val="Style_6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Title"/>
    <w:next w:val="Style_6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next w:val="Style_6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Текст выноски"/>
    <w:basedOn w:val="Style_6"/>
    <w:link w:val="Style_46_ch"/>
    <w:pPr>
      <w:spacing w:after="0" w:before="0" w:line="240" w:lineRule="auto"/>
      <w:ind/>
    </w:pPr>
    <w:rPr>
      <w:rFonts w:ascii="Tahoma" w:hAnsi="Tahoma"/>
      <w:sz w:val="16"/>
    </w:rPr>
  </w:style>
  <w:style w:styleId="Style_46_ch" w:type="character">
    <w:name w:val="Текст выноски"/>
    <w:basedOn w:val="Style_6_ch"/>
    <w:link w:val="Style_46"/>
    <w:rPr>
      <w:rFonts w:ascii="Tahoma" w:hAnsi="Tahoma"/>
      <w:sz w:val="16"/>
    </w:rPr>
  </w:style>
  <w:style w:styleId="Style_47" w:type="paragraph">
    <w:name w:val="heading 2"/>
    <w:next w:val="Style_6"/>
    <w:link w:val="Style_4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7_ch" w:type="character">
    <w:name w:val="heading 2"/>
    <w:link w:val="Style_47"/>
    <w:rPr>
      <w:rFonts w:ascii="XO Thames" w:hAnsi="XO Thames"/>
      <w:b w:val="1"/>
      <w:sz w:val="28"/>
    </w:rPr>
  </w:style>
  <w:style w:styleId="Style_3" w:type="paragraph">
    <w:name w:val="No Spacing"/>
    <w:link w:val="Style_3_ch"/>
    <w:pPr>
      <w:widowControl w:val="1"/>
      <w:spacing w:after="0" w:before="0" w:line="240" w:lineRule="auto"/>
      <w:ind/>
      <w:jc w:val="left"/>
    </w:pPr>
    <w:rPr>
      <w:rFonts w:ascii="Calibri" w:hAnsi="Calibri"/>
      <w:color w:val="000000"/>
      <w:sz w:val="22"/>
    </w:rPr>
  </w:style>
  <w:style w:styleId="Style_3_ch" w:type="character">
    <w:name w:val="No Spacing"/>
    <w:link w:val="Style_3"/>
    <w:rPr>
      <w:rFonts w:ascii="Calibri" w:hAnsi="Calibri"/>
      <w:color w:val="000000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2026-07-08T14:22:25Z</dcterms:modified>
</cp:coreProperties>
</file>