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ntTable.xml" ContentType="application/vnd.openxmlformats-officedocument.wordprocessingml.fontTable+xml"/>
  <Override PartName="/word/header1.xml" ContentType="application/vnd.openxmlformats-officedocument.wordprocessingml.header+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jc w:val="both"/>
        <w:rPr/>
      </w:pPr>
      <w:r>
        <w:rPr/>
      </w:r>
    </w:p>
    <w:p>
      <w:pPr>
        <w:pStyle w:val="ConsPlusNormal"/>
        <w:jc w:val="both"/>
        <w:rPr/>
      </w:pPr>
      <w:r>
        <w:rPr/>
      </w:r>
    </w:p>
    <w:p>
      <w:pPr>
        <w:pStyle w:val="ConsPlusNormal"/>
        <w:jc w:val="both"/>
        <w:rPr/>
      </w:pPr>
      <w:r>
        <w:rPr/>
      </w:r>
    </w:p>
    <w:p>
      <w:pPr>
        <w:pStyle w:val="ConsPlus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ConsPlusNormal"/>
        <w:jc w:val="center"/>
        <w:rPr>
          <w:rFonts w:ascii="Times New Roman" w:hAnsi="Times New Roman" w:cs="Times New Roman"/>
          <w:b/>
          <w:b/>
          <w:bCs/>
        </w:rPr>
      </w:pPr>
      <w:r>
        <w:rPr>
          <w:rFonts w:cs="Times New Roman" w:ascii="Times New Roman" w:hAnsi="Times New Roman"/>
          <w:b/>
          <w:bCs/>
        </w:rPr>
      </w:r>
    </w:p>
    <w:tbl>
      <w:tblPr>
        <w:tblStyle w:val="a3"/>
        <w:tblW w:w="9571" w:type="dxa"/>
        <w:jc w:val="left"/>
        <w:tblInd w:w="0" w:type="dxa"/>
        <w:tblCellMar>
          <w:top w:w="0" w:type="dxa"/>
          <w:left w:w="108" w:type="dxa"/>
          <w:bottom w:w="0" w:type="dxa"/>
          <w:right w:w="108" w:type="dxa"/>
        </w:tblCellMar>
        <w:tblLook w:val="04a0" w:noVBand="1" w:noHBand="0" w:firstRow="1" w:lastRow="0" w:firstColumn="1" w:lastColumn="0"/>
      </w:tblPr>
      <w:tblGrid>
        <w:gridCol w:w="9571"/>
      </w:tblGrid>
      <w:tr>
        <w:trPr/>
        <w:tc>
          <w:tcPr>
            <w:tcW w:w="9571" w:type="dxa"/>
            <w:tcBorders/>
            <w:shd w:fill="auto" w:val="clear"/>
          </w:tcPr>
          <w:p>
            <w:pPr>
              <w:pStyle w:val="ConsPlusNonformat"/>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 xml:space="preserve">Перечень вопросов </w:t>
            </w:r>
          </w:p>
          <w:p>
            <w:pPr>
              <w:pStyle w:val="ConsPlusNonformat"/>
              <w:spacing w:lineRule="auto" w:line="240" w:before="0" w:after="0"/>
              <w:jc w:val="center"/>
              <w:rPr/>
            </w:pPr>
            <w:bookmarkStart w:id="0" w:name="_GoBack"/>
            <w:bookmarkEnd w:id="0"/>
            <w:r>
              <w:rPr>
                <w:rFonts w:cs="Times New Roman" w:ascii="Times New Roman" w:hAnsi="Times New Roman"/>
                <w:sz w:val="28"/>
                <w:szCs w:val="28"/>
              </w:rPr>
              <w:t xml:space="preserve">для проведения публичных консультаций по  </w:t>
            </w:r>
          </w:p>
          <w:p>
            <w:pPr>
              <w:pStyle w:val="ConsPlusNonformat"/>
              <w:spacing w:lineRule="auto" w:line="240" w:before="0" w:after="0"/>
              <w:jc w:val="center"/>
              <w:rPr/>
            </w:pPr>
            <w:r>
              <w:rPr>
                <w:rFonts w:cs="Times New Roman" w:ascii="Times New Roman" w:hAnsi="Times New Roman"/>
                <w:sz w:val="28"/>
                <w:szCs w:val="28"/>
              </w:rPr>
              <w:t xml:space="preserve">проекту </w:t>
            </w:r>
            <w:r>
              <w:rPr>
                <w:rFonts w:eastAsia="Times New Roman" w:cs="Times New Roman" w:ascii="Times New Roman" w:hAnsi="Times New Roman"/>
                <w:sz w:val="28"/>
                <w:szCs w:val="28"/>
                <w:lang w:eastAsia="ru-RU"/>
              </w:rPr>
              <w:t>постановления</w:t>
            </w:r>
            <w:r>
              <w:rPr>
                <w:rFonts w:cs="Times New Roman" w:ascii="Times New Roman" w:hAnsi="Times New Roman"/>
                <w:sz w:val="28"/>
                <w:szCs w:val="28"/>
              </w:rPr>
              <w:t xml:space="preserve"> </w:t>
            </w:r>
            <w:r>
              <w:rPr>
                <w:rFonts w:cs="Times New Roman" w:ascii="Times New Roman" w:hAnsi="Times New Roman"/>
                <w:sz w:val="28"/>
                <w:szCs w:val="28"/>
              </w:rPr>
              <w:t>«</w:t>
            </w:r>
            <w:r>
              <w:rPr>
                <w:rFonts w:cs="Times New Roman" w:ascii="Times New Roman" w:hAnsi="Times New Roman"/>
                <w:b w:val="false"/>
                <w:bCs w:val="false"/>
                <w:sz w:val="28"/>
                <w:szCs w:val="28"/>
                <w:lang w:val="ru-RU"/>
              </w:rPr>
              <w:t xml:space="preserve">О внесении изменений в постановление администрации </w:t>
            </w:r>
            <w:r>
              <w:rPr>
                <w:rFonts w:ascii="Times New Roman" w:hAnsi="Times New Roman"/>
                <w:b w:val="false"/>
                <w:bCs w:val="false"/>
                <w:sz w:val="28"/>
                <w:szCs w:val="28"/>
                <w:lang w:val="ru-RU"/>
              </w:rPr>
              <w:t xml:space="preserve">муниципального образования Туапсинский район </w:t>
            </w:r>
          </w:p>
          <w:p>
            <w:pPr>
              <w:pStyle w:val="Normal"/>
              <w:spacing w:lineRule="auto" w:line="240" w:before="0" w:after="0"/>
              <w:jc w:val="center"/>
              <w:rPr>
                <w:rFonts w:ascii="Times New Roman" w:hAnsi="Times New Roman"/>
                <w:b w:val="false"/>
                <w:b w:val="false"/>
                <w:bCs w:val="false"/>
                <w:sz w:val="28"/>
                <w:szCs w:val="28"/>
                <w:lang w:val="ru-RU"/>
              </w:rPr>
            </w:pPr>
            <w:r>
              <w:rPr>
                <w:rFonts w:ascii="Times New Roman" w:hAnsi="Times New Roman"/>
                <w:b w:val="false"/>
                <w:bCs w:val="false"/>
                <w:sz w:val="28"/>
                <w:szCs w:val="28"/>
                <w:lang w:val="ru-RU"/>
              </w:rPr>
              <w:t xml:space="preserve">от 04 февраля 2020 года № 155 «Об утверждении перечня </w:t>
            </w:r>
          </w:p>
          <w:p>
            <w:pPr>
              <w:pStyle w:val="Normal"/>
              <w:spacing w:lineRule="auto" w:line="240" w:before="0" w:after="0"/>
              <w:jc w:val="center"/>
              <w:rPr>
                <w:rFonts w:ascii="Times New Roman" w:hAnsi="Times New Roman"/>
                <w:b w:val="false"/>
                <w:b w:val="false"/>
                <w:bCs w:val="false"/>
                <w:sz w:val="28"/>
                <w:szCs w:val="28"/>
                <w:lang w:val="ru-RU"/>
              </w:rPr>
            </w:pPr>
            <w:r>
              <w:rPr>
                <w:rFonts w:ascii="Times New Roman" w:hAnsi="Times New Roman"/>
                <w:b w:val="false"/>
                <w:bCs w:val="false"/>
                <w:sz w:val="28"/>
                <w:szCs w:val="28"/>
                <w:lang w:val="ru-RU"/>
              </w:rPr>
              <w:t xml:space="preserve">товарных рынков и плана мероприятий («дорожной карты») </w:t>
            </w:r>
          </w:p>
          <w:p>
            <w:pPr>
              <w:pStyle w:val="Normal"/>
              <w:spacing w:lineRule="auto" w:line="240" w:before="0" w:after="0"/>
              <w:jc w:val="center"/>
              <w:rPr>
                <w:rFonts w:ascii="Times New Roman" w:hAnsi="Times New Roman"/>
                <w:b w:val="false"/>
                <w:b w:val="false"/>
                <w:bCs w:val="false"/>
                <w:sz w:val="28"/>
                <w:szCs w:val="28"/>
                <w:lang w:val="ru-RU"/>
              </w:rPr>
            </w:pPr>
            <w:r>
              <w:rPr>
                <w:rFonts w:ascii="Times New Roman" w:hAnsi="Times New Roman"/>
                <w:b w:val="false"/>
                <w:bCs w:val="false"/>
                <w:sz w:val="28"/>
                <w:szCs w:val="28"/>
                <w:lang w:val="ru-RU"/>
              </w:rPr>
              <w:t xml:space="preserve">по содействию развитию конкуренции на территории </w:t>
            </w:r>
          </w:p>
          <w:p>
            <w:pPr>
              <w:pStyle w:val="ConsPlusNonformat"/>
              <w:spacing w:lineRule="auto" w:line="240" w:before="0" w:after="0"/>
              <w:jc w:val="center"/>
              <w:rPr>
                <w:rFonts w:ascii="Times New Roman" w:hAnsi="Times New Roman"/>
                <w:b w:val="false"/>
                <w:b w:val="false"/>
                <w:bCs w:val="false"/>
                <w:sz w:val="28"/>
                <w:szCs w:val="28"/>
                <w:lang w:val="ru-RU"/>
              </w:rPr>
            </w:pPr>
            <w:r>
              <w:rPr>
                <w:rFonts w:eastAsia="Times New Roman" w:cs="Times New Roman" w:ascii="Times New Roman" w:hAnsi="Times New Roman"/>
                <w:b w:val="false"/>
                <w:bCs w:val="false"/>
                <w:color w:val="auto"/>
                <w:kern w:val="0"/>
                <w:sz w:val="28"/>
                <w:szCs w:val="28"/>
                <w:lang w:val="ru-RU" w:eastAsia="ru-RU" w:bidi="ar-SA"/>
              </w:rPr>
              <w:t>муниципального образования Туапсинский район»</w:t>
            </w:r>
          </w:p>
          <w:p>
            <w:pPr>
              <w:pStyle w:val="ConsPlusNonformat"/>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ConsPlusNonformat"/>
              <w:spacing w:lineRule="auto" w:line="240" w:before="0" w:after="0"/>
              <w:ind w:firstLine="709"/>
              <w:jc w:val="both"/>
              <w:rPr/>
            </w:pPr>
            <w:r>
              <w:rPr>
                <w:rFonts w:cs="Times New Roman" w:ascii="Times New Roman" w:hAnsi="Times New Roman"/>
                <w:sz w:val="28"/>
                <w:szCs w:val="28"/>
              </w:rPr>
              <w:t xml:space="preserve">Пожалуйста, заполните и направьте данную форму по электронной почте на адрес: </w:t>
            </w:r>
            <w:hyperlink r:id="rId2">
              <w:r>
                <w:rPr>
                  <w:rStyle w:val="Style17"/>
                  <w:rFonts w:cs="Times New Roman" w:ascii="Times New Roman" w:hAnsi="Times New Roman"/>
                  <w:sz w:val="28"/>
                  <w:szCs w:val="28"/>
                  <w:lang w:val="en-US"/>
                </w:rPr>
                <w:t>ecotuapregion</w:t>
              </w:r>
              <w:r>
                <w:rPr>
                  <w:rStyle w:val="Style17"/>
                  <w:rFonts w:cs="Times New Roman" w:ascii="Times New Roman" w:hAnsi="Times New Roman"/>
                  <w:sz w:val="28"/>
                  <w:szCs w:val="28"/>
                </w:rPr>
                <w:t>@</w:t>
              </w:r>
              <w:r>
                <w:rPr>
                  <w:rStyle w:val="Style17"/>
                  <w:rFonts w:cs="Times New Roman" w:ascii="Times New Roman" w:hAnsi="Times New Roman"/>
                  <w:sz w:val="28"/>
                  <w:szCs w:val="28"/>
                  <w:lang w:val="en-US"/>
                </w:rPr>
                <w:t>mail</w:t>
              </w:r>
              <w:r>
                <w:rPr>
                  <w:rStyle w:val="Style17"/>
                  <w:rFonts w:cs="Times New Roman" w:ascii="Times New Roman" w:hAnsi="Times New Roman"/>
                  <w:sz w:val="28"/>
                  <w:szCs w:val="28"/>
                </w:rPr>
                <w:t>.</w:t>
              </w:r>
              <w:r>
                <w:rPr>
                  <w:rStyle w:val="Style17"/>
                  <w:rFonts w:cs="Times New Roman" w:ascii="Times New Roman" w:hAnsi="Times New Roman"/>
                  <w:sz w:val="28"/>
                  <w:szCs w:val="28"/>
                  <w:lang w:val="en-US"/>
                </w:rPr>
                <w:t>ru</w:t>
              </w:r>
            </w:hyperlink>
            <w:r>
              <w:rPr>
                <w:rFonts w:cs="Times New Roman" w:ascii="Times New Roman" w:hAnsi="Times New Roman"/>
                <w:sz w:val="28"/>
                <w:szCs w:val="28"/>
              </w:rPr>
              <w:t xml:space="preserve">, с пометкой для </w:t>
            </w:r>
            <w:r>
              <w:rPr>
                <w:rFonts w:eastAsia="Times New Roman" w:cs="Times New Roman" w:ascii="Times New Roman" w:hAnsi="Times New Roman"/>
                <w:sz w:val="28"/>
                <w:szCs w:val="28"/>
                <w:lang w:eastAsia="ru-RU"/>
              </w:rPr>
              <w:t>Кириллова</w:t>
            </w: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Вячеслава</w:t>
            </w:r>
            <w:r>
              <w:rPr>
                <w:rFonts w:cs="Times New Roman" w:ascii="Times New Roman" w:hAnsi="Times New Roman"/>
                <w:sz w:val="28"/>
                <w:szCs w:val="28"/>
              </w:rPr>
              <w:t xml:space="preserve"> </w:t>
            </w:r>
            <w:r>
              <w:rPr>
                <w:rFonts w:eastAsia="Times New Roman" w:cs="Times New Roman" w:ascii="Times New Roman" w:hAnsi="Times New Roman"/>
                <w:sz w:val="28"/>
                <w:szCs w:val="28"/>
                <w:lang w:eastAsia="ru-RU"/>
              </w:rPr>
              <w:t>Александро</w:t>
            </w:r>
            <w:r>
              <w:rPr>
                <w:rFonts w:cs="Times New Roman" w:ascii="Times New Roman" w:hAnsi="Times New Roman"/>
                <w:sz w:val="28"/>
                <w:szCs w:val="28"/>
              </w:rPr>
              <w:t>вича.</w:t>
            </w:r>
          </w:p>
          <w:p>
            <w:pPr>
              <w:pStyle w:val="ConsPlusNonformat"/>
              <w:spacing w:lineRule="auto" w:line="240" w:before="0" w:after="0"/>
              <w:ind w:firstLine="709"/>
              <w:jc w:val="both"/>
              <w:rPr/>
            </w:pPr>
            <w:r>
              <w:rPr>
                <w:rFonts w:cs="Times New Roman" w:ascii="Times New Roman" w:hAnsi="Times New Roman"/>
                <w:sz w:val="28"/>
                <w:szCs w:val="28"/>
              </w:rPr>
              <w:t>Замечания  и  (или)</w:t>
            </w:r>
            <w:bookmarkStart w:id="1" w:name="_GoBack1"/>
            <w:bookmarkEnd w:id="1"/>
            <w:r>
              <w:rPr>
                <w:rFonts w:cs="Times New Roman" w:ascii="Times New Roman" w:hAnsi="Times New Roman"/>
                <w:sz w:val="28"/>
                <w:szCs w:val="28"/>
              </w:rPr>
              <w:t xml:space="preserve">  предложения,  направленные после  указанного  срока,  а  также  направленные  не  в  соответствии  с настоящей формой, рассмотрению не подлежат.</w:t>
            </w:r>
          </w:p>
        </w:tc>
      </w:tr>
    </w:tbl>
    <w:p>
      <w:pPr>
        <w:pStyle w:val="ConsPlusNormal"/>
        <w:jc w:val="both"/>
        <w:rPr/>
      </w:pPr>
      <w:r>
        <w:rPr/>
      </w:r>
    </w:p>
    <w:tbl>
      <w:tblPr>
        <w:tblStyle w:val="a3"/>
        <w:tblW w:w="9571" w:type="dxa"/>
        <w:jc w:val="center"/>
        <w:tblInd w:w="0" w:type="dxa"/>
        <w:tblCellMar>
          <w:top w:w="0" w:type="dxa"/>
          <w:left w:w="108" w:type="dxa"/>
          <w:bottom w:w="0" w:type="dxa"/>
          <w:right w:w="108" w:type="dxa"/>
        </w:tblCellMar>
        <w:tblLook w:val="04a0" w:noVBand="1" w:noHBand="0" w:lastColumn="0" w:firstColumn="1" w:lastRow="0" w:firstRow="1"/>
      </w:tblPr>
      <w:tblGrid>
        <w:gridCol w:w="9571"/>
      </w:tblGrid>
      <w:tr>
        <w:trPr/>
        <w:tc>
          <w:tcPr>
            <w:tcW w:w="9571" w:type="dxa"/>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t>Контактная информация:</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наименование организации</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сфера деятельности организации</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Ф.И.О. контактного лица</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номер контактного телефона</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_____________________________________________________________________________</w:t>
            </w:r>
          </w:p>
          <w:p>
            <w:pPr>
              <w:pStyle w:val="ConsPlus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адрес электронной почты</w:t>
            </w:r>
          </w:p>
          <w:p>
            <w:pPr>
              <w:pStyle w:val="ConsPlus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bl>
    <w:p>
      <w:pPr>
        <w:pStyle w:val="ConsPlusNormal"/>
        <w:jc w:val="both"/>
        <w:rPr/>
      </w:pPr>
      <w:r>
        <w:rPr/>
      </w:r>
    </w:p>
    <w:tbl>
      <w:tblPr>
        <w:tblStyle w:val="a3"/>
        <w:tblW w:w="9571" w:type="dxa"/>
        <w:jc w:val="left"/>
        <w:tblInd w:w="0" w:type="dxa"/>
        <w:tblCellMar>
          <w:top w:w="0" w:type="dxa"/>
          <w:left w:w="108" w:type="dxa"/>
          <w:bottom w:w="0" w:type="dxa"/>
          <w:right w:w="108" w:type="dxa"/>
        </w:tblCellMar>
        <w:tblLook w:val="04a0" w:noVBand="1" w:noHBand="0" w:lastColumn="0" w:firstColumn="1" w:lastRow="0" w:firstRow="1"/>
      </w:tblPr>
      <w:tblGrid>
        <w:gridCol w:w="9571"/>
      </w:tblGrid>
      <w:tr>
        <w:trPr/>
        <w:tc>
          <w:tcPr>
            <w:tcW w:w="9571" w:type="dxa"/>
            <w:tcBorders/>
            <w:shd w:fill="auto" w:val="clear"/>
          </w:tcPr>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Туапсинский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имеются ли технические ошибки;</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создает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Туапсинский район и должностных лиц, допускает ли возможность избирательного применения норм;</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Предусмотрен ли в нем механизм защиты прав хозяйствующих субъектов?</w:t>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rFonts w:ascii="Times New Roman" w:hAnsi="Times New Roman" w:cs="Times New Roman"/>
                      <w:sz w:val="28"/>
                      <w:szCs w:val="28"/>
                    </w:rPr>
                  </w:pPr>
                  <w:r>
                    <w:rPr>
                      <w:rFonts w:cs="Times New Roman" w:ascii="Times New Roman" w:hAnsi="Times New Roman"/>
                      <w:sz w:val="28"/>
                      <w:szCs w:val="28"/>
                    </w:rPr>
                  </w:r>
                </w:p>
              </w:tc>
            </w:tr>
          </w:tbl>
          <w:p>
            <w:pPr>
              <w:pStyle w:val="ConsPlus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ConsPlusNormal"/>
              <w:spacing w:lineRule="auto" w:line="240" w:before="0" w:after="0"/>
              <w:ind w:firstLine="540"/>
              <w:jc w:val="both"/>
              <w:rPr>
                <w:rFonts w:ascii="Times New Roman" w:hAnsi="Times New Roman" w:cs="Times New Roman"/>
                <w:sz w:val="28"/>
                <w:szCs w:val="28"/>
              </w:rPr>
            </w:pPr>
            <w:r>
              <w:rPr>
                <w:rFonts w:cs="Times New Roman"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p>
            <w:pPr>
              <w:pStyle w:val="ConsPlusNormal"/>
              <w:spacing w:lineRule="auto" w:line="240" w:before="0" w:after="0"/>
              <w:jc w:val="both"/>
              <w:rPr/>
            </w:pPr>
            <w:r>
              <w:rPr/>
            </w:r>
          </w:p>
          <w:tbl>
            <w:tblPr>
              <w:tblW w:w="9283" w:type="dxa"/>
              <w:jc w:val="left"/>
              <w:tblInd w:w="62" w:type="dxa"/>
              <w:tblCellMar>
                <w:top w:w="102" w:type="dxa"/>
                <w:left w:w="62" w:type="dxa"/>
                <w:bottom w:w="102" w:type="dxa"/>
                <w:right w:w="62" w:type="dxa"/>
              </w:tblCellMar>
              <w:tblLook w:val="0000" w:noVBand="0" w:noHBand="0" w:lastColumn="0" w:firstColumn="0" w:lastRow="0" w:firstRow="0"/>
            </w:tblPr>
            <w:tblGrid>
              <w:gridCol w:w="9283"/>
            </w:tblGrid>
            <w:tr>
              <w:trPr/>
              <w:tc>
                <w:tcPr>
                  <w:tcW w:w="9283" w:type="dxa"/>
                  <w:tcBorders>
                    <w:top w:val="single" w:sz="4" w:space="0" w:color="000000"/>
                    <w:left w:val="single" w:sz="4" w:space="0" w:color="000000"/>
                    <w:bottom w:val="single" w:sz="4" w:space="0" w:color="000000"/>
                    <w:right w:val="single" w:sz="4" w:space="0" w:color="000000"/>
                  </w:tcBorders>
                  <w:shd w:fill="auto" w:val="clear"/>
                </w:tcPr>
                <w:p>
                  <w:pPr>
                    <w:pStyle w:val="ConsPlusNormal"/>
                    <w:spacing w:lineRule="auto" w:line="240" w:before="0" w:after="0"/>
                    <w:rPr/>
                  </w:pPr>
                  <w:r>
                    <w:rPr/>
                  </w:r>
                </w:p>
              </w:tc>
            </w:tr>
          </w:tbl>
          <w:p>
            <w:pPr>
              <w:pStyle w:val="ConsPlusNormal"/>
              <w:spacing w:lineRule="auto" w:line="240" w:before="0" w:after="0"/>
              <w:jc w:val="both"/>
              <w:rPr/>
            </w:pPr>
            <w:r>
              <w:rPr/>
            </w:r>
          </w:p>
          <w:p>
            <w:pPr>
              <w:pStyle w:val="ConsPlusNormal"/>
              <w:spacing w:lineRule="auto" w:line="240" w:before="0" w:after="0"/>
              <w:jc w:val="both"/>
              <w:rPr/>
            </w:pPr>
            <w:r>
              <w:rPr/>
            </w:r>
          </w:p>
        </w:tc>
      </w:tr>
    </w:tbl>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rmal"/>
        <w:jc w:val="both"/>
        <w:rPr/>
      </w:pPr>
      <w:r>
        <w:rPr>
          <w:rFonts w:eastAsia="Times New Roman" w:cs="Times New Roman" w:ascii="Times New Roman" w:hAnsi="Times New Roman"/>
          <w:color w:val="auto"/>
          <w:kern w:val="0"/>
          <w:sz w:val="28"/>
          <w:szCs w:val="28"/>
          <w:lang w:val="ru-RU" w:eastAsia="ru-RU" w:bidi="ar-SA"/>
        </w:rPr>
        <w:t>Н</w:t>
      </w:r>
      <w:r>
        <w:rPr>
          <w:rFonts w:cs="Times New Roman" w:ascii="Times New Roman" w:hAnsi="Times New Roman"/>
          <w:sz w:val="28"/>
          <w:szCs w:val="28"/>
        </w:rPr>
        <w:t>ачальник управления экономического</w:t>
      </w:r>
    </w:p>
    <w:p>
      <w:pPr>
        <w:pStyle w:val="ConsPlusNormal"/>
        <w:jc w:val="both"/>
        <w:rPr>
          <w:rFonts w:ascii="Times New Roman" w:hAnsi="Times New Roman" w:cs="Times New Roman"/>
          <w:sz w:val="28"/>
          <w:szCs w:val="28"/>
        </w:rPr>
      </w:pPr>
      <w:r>
        <w:rPr>
          <w:rFonts w:cs="Times New Roman" w:ascii="Times New Roman" w:hAnsi="Times New Roman"/>
          <w:sz w:val="28"/>
          <w:szCs w:val="28"/>
        </w:rPr>
        <w:t>развития администрации муниципального</w:t>
      </w:r>
    </w:p>
    <w:p>
      <w:pPr>
        <w:pStyle w:val="ConsPlusNormal"/>
        <w:jc w:val="both"/>
        <w:rPr/>
      </w:pPr>
      <w:r>
        <w:rPr>
          <w:rFonts w:cs="Times New Roman" w:ascii="Times New Roman" w:hAnsi="Times New Roman"/>
          <w:sz w:val="28"/>
          <w:szCs w:val="28"/>
        </w:rPr>
        <w:t xml:space="preserve">образования Туапсинский район                                                          </w:t>
      </w:r>
      <w:r>
        <w:rPr>
          <w:rFonts w:eastAsia="Times New Roman" w:cs="Times New Roman" w:ascii="Times New Roman" w:hAnsi="Times New Roman"/>
          <w:color w:val="auto"/>
          <w:kern w:val="0"/>
          <w:sz w:val="28"/>
          <w:szCs w:val="28"/>
          <w:lang w:val="ru-RU" w:eastAsia="ru-RU" w:bidi="ar-SA"/>
        </w:rPr>
        <w:t>Д</w:t>
      </w:r>
      <w:r>
        <w:rPr>
          <w:rFonts w:cs="Times New Roman" w:ascii="Times New Roman" w:hAnsi="Times New Roman"/>
          <w:sz w:val="28"/>
          <w:szCs w:val="28"/>
        </w:rPr>
        <w:t>.</w:t>
      </w:r>
      <w:r>
        <w:rPr>
          <w:rFonts w:eastAsia="Times New Roman" w:cs="Times New Roman" w:ascii="Times New Roman" w:hAnsi="Times New Roman"/>
          <w:color w:val="auto"/>
          <w:kern w:val="0"/>
          <w:sz w:val="28"/>
          <w:szCs w:val="28"/>
          <w:lang w:val="ru-RU" w:eastAsia="ru-RU" w:bidi="ar-SA"/>
        </w:rPr>
        <w:t>Е</w:t>
      </w:r>
      <w:r>
        <w:rPr>
          <w:rFonts w:cs="Times New Roman" w:ascii="Times New Roman" w:hAnsi="Times New Roman"/>
          <w:sz w:val="28"/>
          <w:szCs w:val="28"/>
        </w:rPr>
        <w:t xml:space="preserve">. </w:t>
      </w:r>
      <w:r>
        <w:rPr>
          <w:rFonts w:eastAsia="Times New Roman" w:cs="Times New Roman" w:ascii="Times New Roman" w:hAnsi="Times New Roman"/>
          <w:color w:val="auto"/>
          <w:kern w:val="0"/>
          <w:sz w:val="28"/>
          <w:szCs w:val="28"/>
          <w:lang w:val="ru-RU" w:eastAsia="ru-RU" w:bidi="ar-SA"/>
        </w:rPr>
        <w:t>Яйли</w:t>
      </w:r>
    </w:p>
    <w:p>
      <w:pPr>
        <w:pStyle w:val="ConsPlusNormal"/>
        <w:jc w:val="both"/>
        <w:rPr/>
      </w:pPr>
      <w:r>
        <w:rPr/>
      </w:r>
    </w:p>
    <w:p>
      <w:pPr>
        <w:pStyle w:val="Normal"/>
        <w:widowControl/>
        <w:bidi w:val="0"/>
        <w:spacing w:lineRule="auto" w:line="276" w:before="0" w:after="200"/>
        <w:jc w:val="left"/>
        <w:rPr/>
      </w:pPr>
      <w:r>
        <w:rPr/>
      </w:r>
    </w:p>
    <w:sectPr>
      <w:headerReference w:type="default" r:id="rId3"/>
      <w:type w:val="nextPage"/>
      <w:pgSz w:w="11906" w:h="16838"/>
      <w:pgMar w:left="1701" w:right="850" w:header="708" w:top="1134" w:footer="0"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 w:name="Courier New">
    <w:charset w:val="01"/>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110479207"/>
    </w:sdtPr>
    <w:sdtContent>
      <w:p>
        <w:pPr>
          <w:pStyle w:val="Style24"/>
          <w:jc w:val="center"/>
          <w:rPr/>
        </w:pPr>
        <w:r>
          <w:rPr>
            <w:rFonts w:ascii="Times New Roman" w:hAnsi="Times New Roman"/>
            <w:sz w:val="28"/>
            <w:szCs w:val="28"/>
          </w:rPr>
          <w:fldChar w:fldCharType="begin"/>
        </w:r>
        <w:r>
          <w:rPr>
            <w:sz w:val="28"/>
            <w:szCs w:val="28"/>
            <w:rFonts w:ascii="Times New Roman" w:hAnsi="Times New Roman"/>
          </w:rPr>
          <w:instrText> PAGE </w:instrText>
        </w:r>
        <w:r>
          <w:rPr>
            <w:sz w:val="28"/>
            <w:szCs w:val="28"/>
            <w:rFonts w:ascii="Times New Roman" w:hAnsi="Times New Roman"/>
          </w:rPr>
          <w:fldChar w:fldCharType="separate"/>
        </w:r>
        <w:r>
          <w:rPr>
            <w:sz w:val="28"/>
            <w:szCs w:val="28"/>
            <w:rFonts w:ascii="Times New Roman" w:hAnsi="Times New Roman"/>
          </w:rPr>
          <w:t>5</w:t>
        </w:r>
        <w:r>
          <w:rPr>
            <w:sz w:val="28"/>
            <w:szCs w:val="28"/>
            <w:rFonts w:ascii="Times New Roman" w:hAnsi="Times New Roman"/>
          </w:rPr>
          <w:fldChar w:fldCharType="end"/>
        </w:r>
      </w:p>
    </w:sdtContent>
  </w:sdt>
  <w:p>
    <w:pPr>
      <w:pStyle w:val="Style24"/>
      <w:rPr/>
    </w:pPr>
    <w:r>
      <w:rPr/>
    </w:r>
  </w:p>
</w:hdr>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e3383"/>
    <w:pPr>
      <w:widowControl/>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Style14" w:customStyle="1">
    <w:name w:val="Верхний колонтитул Знак"/>
    <w:basedOn w:val="DefaultParagraphFont"/>
    <w:link w:val="a4"/>
    <w:uiPriority w:val="99"/>
    <w:qFormat/>
    <w:rsid w:val="006e36aa"/>
    <w:rPr>
      <w:rFonts w:ascii="Calibri" w:hAnsi="Calibri" w:eastAsia="Times New Roman" w:cs="Times New Roman"/>
      <w:lang w:eastAsia="ru-RU"/>
    </w:rPr>
  </w:style>
  <w:style w:type="character" w:styleId="Style15" w:customStyle="1">
    <w:name w:val="Нижний колонтитул Знак"/>
    <w:basedOn w:val="DefaultParagraphFont"/>
    <w:link w:val="a6"/>
    <w:uiPriority w:val="99"/>
    <w:qFormat/>
    <w:rsid w:val="006e36aa"/>
    <w:rPr>
      <w:rFonts w:ascii="Calibri" w:hAnsi="Calibri" w:eastAsia="Times New Roman" w:cs="Times New Roman"/>
      <w:lang w:eastAsia="ru-RU"/>
    </w:rPr>
  </w:style>
  <w:style w:type="character" w:styleId="Style16" w:customStyle="1">
    <w:name w:val="Текст выноски Знак"/>
    <w:basedOn w:val="DefaultParagraphFont"/>
    <w:link w:val="a8"/>
    <w:uiPriority w:val="99"/>
    <w:semiHidden/>
    <w:qFormat/>
    <w:rsid w:val="008e24a9"/>
    <w:rPr>
      <w:rFonts w:ascii="Tahoma" w:hAnsi="Tahoma" w:eastAsia="Times New Roman" w:cs="Tahoma"/>
      <w:sz w:val="16"/>
      <w:szCs w:val="16"/>
      <w:lang w:eastAsia="ru-RU"/>
    </w:rPr>
  </w:style>
  <w:style w:type="character" w:styleId="Style17">
    <w:name w:val="Интернет-ссылка"/>
    <w:rPr>
      <w:color w:val="000080"/>
      <w:u w:val="single"/>
      <w:lang w:val="zxx" w:eastAsia="zxx" w:bidi="zxx"/>
    </w:rPr>
  </w:style>
  <w:style w:type="paragraph" w:styleId="Style18">
    <w:name w:val="Заголовок"/>
    <w:basedOn w:val="Normal"/>
    <w:next w:val="Style19"/>
    <w:qFormat/>
    <w:pPr>
      <w:keepNext w:val="true"/>
      <w:spacing w:before="240" w:after="120"/>
    </w:pPr>
    <w:rPr>
      <w:rFonts w:ascii="Liberation Sans" w:hAnsi="Liberation Sans" w:eastAsia="Droid Sans Fallback" w:cs="Droid Sans Devanagari"/>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Droid Sans Devanagari"/>
    </w:rPr>
  </w:style>
  <w:style w:type="paragraph" w:styleId="Style21">
    <w:name w:val="Caption"/>
    <w:basedOn w:val="Normal"/>
    <w:qFormat/>
    <w:pPr>
      <w:suppressLineNumbers/>
      <w:spacing w:before="120" w:after="120"/>
    </w:pPr>
    <w:rPr>
      <w:rFonts w:cs="Droid Sans Devanagari"/>
      <w:i/>
      <w:iCs/>
      <w:sz w:val="24"/>
      <w:szCs w:val="24"/>
    </w:rPr>
  </w:style>
  <w:style w:type="paragraph" w:styleId="Style22">
    <w:name w:val="Указатель"/>
    <w:basedOn w:val="Normal"/>
    <w:qFormat/>
    <w:pPr>
      <w:suppressLineNumbers/>
    </w:pPr>
    <w:rPr>
      <w:rFonts w:cs="Droid Sans Devanagari"/>
    </w:rPr>
  </w:style>
  <w:style w:type="paragraph" w:styleId="ConsPlusNormal" w:customStyle="1">
    <w:name w:val="ConsPlusNormal"/>
    <w:qFormat/>
    <w:rsid w:val="009e3383"/>
    <w:pPr>
      <w:widowControl w:val="false"/>
      <w:bidi w:val="0"/>
      <w:spacing w:lineRule="auto" w:line="240" w:before="0" w:after="0"/>
      <w:jc w:val="left"/>
    </w:pPr>
    <w:rPr>
      <w:rFonts w:ascii="Arial" w:hAnsi="Arial" w:eastAsia="Times New Roman" w:cs="Arial"/>
      <w:color w:val="auto"/>
      <w:kern w:val="0"/>
      <w:sz w:val="20"/>
      <w:szCs w:val="20"/>
      <w:lang w:val="ru-RU" w:eastAsia="ru-RU" w:bidi="ar-SA"/>
    </w:rPr>
  </w:style>
  <w:style w:type="paragraph" w:styleId="ConsPlusNonformat" w:customStyle="1">
    <w:name w:val="ConsPlusNonformat"/>
    <w:uiPriority w:val="99"/>
    <w:qFormat/>
    <w:rsid w:val="009e3383"/>
    <w:pPr>
      <w:widowControl w:val="fals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Style23">
    <w:name w:val="Верхний и нижний колонтитулы"/>
    <w:basedOn w:val="Normal"/>
    <w:qFormat/>
    <w:pPr/>
    <w:rPr/>
  </w:style>
  <w:style w:type="paragraph" w:styleId="Style24">
    <w:name w:val="Header"/>
    <w:basedOn w:val="Normal"/>
    <w:link w:val="a5"/>
    <w:uiPriority w:val="99"/>
    <w:unhideWhenUsed/>
    <w:rsid w:val="006e36aa"/>
    <w:pPr>
      <w:tabs>
        <w:tab w:val="clear" w:pos="708"/>
        <w:tab w:val="center" w:pos="4677" w:leader="none"/>
        <w:tab w:val="right" w:pos="9355" w:leader="none"/>
      </w:tabs>
      <w:spacing w:lineRule="auto" w:line="240" w:before="0" w:after="0"/>
    </w:pPr>
    <w:rPr/>
  </w:style>
  <w:style w:type="paragraph" w:styleId="Style25">
    <w:name w:val="Footer"/>
    <w:basedOn w:val="Normal"/>
    <w:link w:val="a7"/>
    <w:uiPriority w:val="99"/>
    <w:unhideWhenUsed/>
    <w:rsid w:val="006e36aa"/>
    <w:pPr>
      <w:tabs>
        <w:tab w:val="clear" w:pos="708"/>
        <w:tab w:val="center" w:pos="4677" w:leader="none"/>
        <w:tab w:val="right" w:pos="9355" w:leader="none"/>
      </w:tabs>
      <w:spacing w:lineRule="auto" w:line="240" w:before="0" w:after="0"/>
    </w:pPr>
    <w:rPr/>
  </w:style>
  <w:style w:type="paragraph" w:styleId="BalloonText">
    <w:name w:val="Balloon Text"/>
    <w:basedOn w:val="Normal"/>
    <w:link w:val="a9"/>
    <w:uiPriority w:val="99"/>
    <w:semiHidden/>
    <w:unhideWhenUsed/>
    <w:qFormat/>
    <w:rsid w:val="008e24a9"/>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3">
    <w:name w:val="Table Grid"/>
    <w:basedOn w:val="a1"/>
    <w:uiPriority w:val="59"/>
    <w:rsid w:val="009e338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cotuapregion@mail.ru" TargetMode="External"/><Relationship Id="rId3" Type="http://schemas.openxmlformats.org/officeDocument/2006/relationships/header" Target="head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DC5612-F455-4CE8-B0EF-71B8C1DAA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LibreOffice/6.3.0.4$Linux_X86_64 LibreOffice_project/057fc023c990d676a43019934386b85b21a9ee99</Application>
  <Pages>5</Pages>
  <Words>830</Words>
  <Characters>6655</Characters>
  <CharactersWithSpaces>7512</CharactersWithSpaces>
  <Paragraphs>50</Paragraphs>
  <Company>Администрация МО Туапсинский район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2018-09-05T11:20:00Z</dcterms:created>
  <dc:creator>Фидяева Екатерина</dc:creator>
  <dc:description/>
  <dc:language>ru-RU</dc:language>
  <cp:lastModifiedBy/>
  <cp:lastPrinted>2017-11-27T08:44:00Z</cp:lastPrinted>
  <dcterms:modified xsi:type="dcterms:W3CDTF">2021-03-03T15:15:07Z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Администрация МО Туапсинский район</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