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C69">
        <w:rPr>
          <w:rFonts w:ascii="Times New Roman" w:hAnsi="Times New Roman" w:cs="Times New Roman"/>
          <w:b/>
          <w:sz w:val="28"/>
          <w:szCs w:val="28"/>
        </w:rPr>
        <w:t>На предварительном голосовании 28 мая «Едина</w:t>
      </w:r>
      <w:r w:rsidRPr="00ED0C69">
        <w:rPr>
          <w:rFonts w:ascii="Times New Roman" w:hAnsi="Times New Roman" w:cs="Times New Roman"/>
          <w:b/>
          <w:sz w:val="28"/>
          <w:szCs w:val="28"/>
        </w:rPr>
        <w:t>я Россия» откроет 2017 участков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D0C69">
        <w:rPr>
          <w:rFonts w:ascii="Times New Roman" w:hAnsi="Times New Roman" w:cs="Times New Roman"/>
          <w:b/>
          <w:sz w:val="28"/>
          <w:szCs w:val="28"/>
        </w:rPr>
        <w:t>В четверг, 6 апреля, на заседании Президиума Генерального совета «Единой России» были утверждены участки для предварительного голосования, которое состоится 28 мая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>Для того, чтобы поддержать того или иного участника предварительного голосования, по итогам которого будут сформированы списки кандидатов «Единой России» на выборах в региональные парламенты и выборы депутатов административных центров, 28 мая необходимо прийти на свой счетный участок. Узнать, где расположен участок можно будет на сайте предварительного голосования pg.er.ru – такая функция будет доступна уже в конце этого месяца. «На данный момент организована работа 2017 счетных участков предварительного голосования. Формирование счетного участка – это процесс, предполагающий несколько</w:t>
      </w:r>
      <w:bookmarkStart w:id="0" w:name="_GoBack"/>
      <w:bookmarkEnd w:id="0"/>
      <w:r w:rsidRPr="00ED0C69">
        <w:rPr>
          <w:rFonts w:ascii="Times New Roman" w:hAnsi="Times New Roman" w:cs="Times New Roman"/>
          <w:sz w:val="28"/>
          <w:szCs w:val="28"/>
        </w:rPr>
        <w:t xml:space="preserve"> этапов и направлений работы, и, в первую очередь, определение мест голосования и формирование счетных комиссий. После принятия сегодня решения об образовании счетных участков, регионы приступят к формированию составов комиссий», - рассказал секретарь Генеральног</w:t>
      </w:r>
      <w:r>
        <w:rPr>
          <w:rFonts w:ascii="Times New Roman" w:hAnsi="Times New Roman" w:cs="Times New Roman"/>
          <w:sz w:val="28"/>
          <w:szCs w:val="28"/>
        </w:rPr>
        <w:t>о совета Партии Сергей Неверов.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>Он также отметил, что процедура предварительного голосования подошла к «экватору»: 26 февраля был открыт прием заявлений, в эти выходные (8-9 апреля) стартуют дебаты. «Хочу отметить, что интерес к процедуре высок. Всего заявления подали более 1500 человек (из них на участие в выборах депутатов ЗС подали заявления более 700 человек на 309 замещаемых мандатов), депутатов АЦ – 750 заявлений на 329 замещаемых мандатов. Среди них очень много беспартийных, людей самых разных</w:t>
      </w:r>
      <w:r>
        <w:rPr>
          <w:rFonts w:ascii="Times New Roman" w:hAnsi="Times New Roman" w:cs="Times New Roman"/>
          <w:sz w:val="28"/>
          <w:szCs w:val="28"/>
        </w:rPr>
        <w:t xml:space="preserve"> профессий», - добавил Неверов.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>Еще один вопрос, который рассмотрел Президиум, касался работы платформ партии. Неверов напомнил, что на XVI Съезде Председатель Партии Дмитрий Медведев поставил задачу продолжить деятельность внутрипартийных платформ и усилить их активность. Решением Президиума Генсовета партии были внесены изменения и дополнения в положение о внутрипартийных платформах. Результатом заседаний платформ станет резолюция, направляемая на рассмотрение Президиума Генерального совета Партии. Также создается единый аппарат по обеспечению деятельности пла</w:t>
      </w:r>
      <w:r>
        <w:rPr>
          <w:rFonts w:ascii="Times New Roman" w:hAnsi="Times New Roman" w:cs="Times New Roman"/>
          <w:sz w:val="28"/>
          <w:szCs w:val="28"/>
        </w:rPr>
        <w:t>тформ для их общей координации.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 xml:space="preserve">«Руководство платформой будет осуществлять Председатель, тем самым не размывается персональная ответственность, есть принцип – «Один человек – </w:t>
      </w:r>
      <w:r w:rsidRPr="00ED0C69">
        <w:rPr>
          <w:rFonts w:ascii="Times New Roman" w:hAnsi="Times New Roman" w:cs="Times New Roman"/>
          <w:sz w:val="28"/>
          <w:szCs w:val="28"/>
        </w:rPr>
        <w:lastRenderedPageBreak/>
        <w:t xml:space="preserve">одна должность». Назначенные люди пользуются признанным авторитетом каждый в своей области: </w:t>
      </w:r>
      <w:proofErr w:type="gramStart"/>
      <w:r w:rsidRPr="00ED0C69">
        <w:rPr>
          <w:rFonts w:ascii="Times New Roman" w:hAnsi="Times New Roman" w:cs="Times New Roman"/>
          <w:sz w:val="28"/>
          <w:szCs w:val="28"/>
        </w:rPr>
        <w:t xml:space="preserve">Дмитрий Саблин (Патриотическая платформа) как лидер одной из патриотических организаций; Валерий Рязанский (Социальная) – опытный и авторитетный законодатель в сфере социальной политики; Андрей </w:t>
      </w:r>
      <w:proofErr w:type="spellStart"/>
      <w:r w:rsidRPr="00ED0C69">
        <w:rPr>
          <w:rFonts w:ascii="Times New Roman" w:hAnsi="Times New Roman" w:cs="Times New Roman"/>
          <w:sz w:val="28"/>
          <w:szCs w:val="28"/>
        </w:rPr>
        <w:t>Клишас</w:t>
      </w:r>
      <w:proofErr w:type="spellEnd"/>
      <w:r w:rsidRPr="00ED0C69">
        <w:rPr>
          <w:rFonts w:ascii="Times New Roman" w:hAnsi="Times New Roman" w:cs="Times New Roman"/>
          <w:sz w:val="28"/>
          <w:szCs w:val="28"/>
        </w:rPr>
        <w:t xml:space="preserve"> (Либеральная) – авторитетный специалист в области общественно-политического устройства.</w:t>
      </w:r>
      <w:proofErr w:type="gramEnd"/>
      <w:r w:rsidRPr="00ED0C69">
        <w:rPr>
          <w:rFonts w:ascii="Times New Roman" w:hAnsi="Times New Roman" w:cs="Times New Roman"/>
          <w:sz w:val="28"/>
          <w:szCs w:val="28"/>
        </w:rPr>
        <w:t xml:space="preserve"> Исключение составляет платформа по защите предпринимательской инициативы. Эта платформа узкоотраслевая, аккумулирующая вокруг себя представителей </w:t>
      </w:r>
      <w:proofErr w:type="gramStart"/>
      <w:r w:rsidRPr="00ED0C69">
        <w:rPr>
          <w:rFonts w:ascii="Times New Roman" w:hAnsi="Times New Roman" w:cs="Times New Roman"/>
          <w:sz w:val="28"/>
          <w:szCs w:val="28"/>
        </w:rPr>
        <w:t>бизнес-сообществ</w:t>
      </w:r>
      <w:proofErr w:type="gramEnd"/>
      <w:r w:rsidRPr="00ED0C69">
        <w:rPr>
          <w:rFonts w:ascii="Times New Roman" w:hAnsi="Times New Roman" w:cs="Times New Roman"/>
          <w:sz w:val="28"/>
          <w:szCs w:val="28"/>
        </w:rPr>
        <w:t>, отстаивающих интересы малого и среднего бизнеса. Поэтому решено оставить трех сопредседателей», - сообщил заместитель секретаря Генсовета «Единой России» Евгений Рев</w:t>
      </w:r>
      <w:r>
        <w:rPr>
          <w:rFonts w:ascii="Times New Roman" w:hAnsi="Times New Roman" w:cs="Times New Roman"/>
          <w:sz w:val="28"/>
          <w:szCs w:val="28"/>
        </w:rPr>
        <w:t xml:space="preserve">енко.  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 xml:space="preserve">Он отметил, что сопредседателями стали: Евгений Демин - известный и успешный предприниматель, Марина </w:t>
      </w:r>
      <w:proofErr w:type="spellStart"/>
      <w:r w:rsidRPr="00ED0C69">
        <w:rPr>
          <w:rFonts w:ascii="Times New Roman" w:hAnsi="Times New Roman" w:cs="Times New Roman"/>
          <w:sz w:val="28"/>
          <w:szCs w:val="28"/>
        </w:rPr>
        <w:t>Блудян</w:t>
      </w:r>
      <w:proofErr w:type="spellEnd"/>
      <w:r w:rsidRPr="00ED0C69">
        <w:rPr>
          <w:rFonts w:ascii="Times New Roman" w:hAnsi="Times New Roman" w:cs="Times New Roman"/>
          <w:sz w:val="28"/>
          <w:szCs w:val="28"/>
        </w:rPr>
        <w:t xml:space="preserve"> – представитель НКО, развивающая предпринимательство, Татьяна Алексеева – представитель депутатского корпуса. «Есть запрос общества на расширение диалога, и платформы как раз являются партийным инструментом для активизации диалога. Платформы – это дискуссионные площадки, которые предоставляет Партия, но на которые мы будем приглашать представителей самых разных взглядов: лидеров общественного мнения, представителей НКО, экспертов для обсуждения острых и самых важных вопросов в повестке дня», - добавил в своем выступлении Ревенко.</w:t>
      </w:r>
    </w:p>
    <w:p w:rsidR="00ED0C69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33944" w:rsidRPr="00ED0C69" w:rsidRDefault="00ED0C69" w:rsidP="00ED0C69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ED0C69">
        <w:rPr>
          <w:rFonts w:ascii="Times New Roman" w:hAnsi="Times New Roman" w:cs="Times New Roman"/>
          <w:sz w:val="28"/>
          <w:szCs w:val="28"/>
        </w:rPr>
        <w:t>Пресс-служба партии «Единая Россия»</w:t>
      </w:r>
    </w:p>
    <w:sectPr w:rsidR="00433944" w:rsidRPr="00ED0C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C69"/>
    <w:rsid w:val="00433944"/>
    <w:rsid w:val="00ED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Безрукова</dc:creator>
  <cp:lastModifiedBy>Ксения Безрукова</cp:lastModifiedBy>
  <cp:revision>1</cp:revision>
  <dcterms:created xsi:type="dcterms:W3CDTF">2017-04-11T08:32:00Z</dcterms:created>
  <dcterms:modified xsi:type="dcterms:W3CDTF">2017-04-11T08:33:00Z</dcterms:modified>
</cp:coreProperties>
</file>