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ind w:firstLine="0" w:left="4961"/>
      </w:pPr>
      <w:r>
        <w:t>Начальнику  управления экономического развития администрации Туапсинского муниципального округа</w:t>
      </w:r>
    </w:p>
    <w:p w14:paraId="02000000">
      <w:pPr>
        <w:ind w:firstLine="0" w:left="4961"/>
      </w:pPr>
    </w:p>
    <w:p w14:paraId="03000000">
      <w:pPr>
        <w:ind w:firstLine="0" w:left="4961"/>
      </w:pPr>
      <w:r>
        <w:t>Стамбольжи М.А.</w:t>
      </w:r>
    </w:p>
    <w:p w14:paraId="04000000">
      <w:pPr>
        <w:ind/>
        <w:jc w:val="both"/>
        <w:rPr>
          <w:b w:val="1"/>
        </w:rPr>
      </w:pPr>
    </w:p>
    <w:p w14:paraId="05000000">
      <w:pPr>
        <w:ind/>
        <w:jc w:val="center"/>
        <w:rPr>
          <w:b w:val="1"/>
        </w:rPr>
      </w:pPr>
    </w:p>
    <w:p w14:paraId="06000000">
      <w:pPr>
        <w:ind/>
        <w:jc w:val="center"/>
        <w:rPr>
          <w:b w:val="1"/>
        </w:rPr>
      </w:pPr>
    </w:p>
    <w:p w14:paraId="07000000">
      <w:pPr>
        <w:ind/>
        <w:jc w:val="center"/>
        <w:rPr>
          <w:b w:val="1"/>
        </w:rPr>
      </w:pPr>
    </w:p>
    <w:p w14:paraId="08000000">
      <w:pPr>
        <w:ind/>
        <w:jc w:val="center"/>
        <w:rPr>
          <w:b w:val="1"/>
        </w:rPr>
      </w:pPr>
      <w:r>
        <w:rPr>
          <w:b w:val="1"/>
        </w:rPr>
        <w:t>Заключение</w:t>
      </w:r>
    </w:p>
    <w:p w14:paraId="09000000">
      <w:pPr>
        <w:ind/>
        <w:jc w:val="center"/>
      </w:pPr>
      <w:r>
        <w:t xml:space="preserve">по результатам экспертизы проекта постановления администрации Туапсинского муниципального округа </w:t>
      </w:r>
      <w:r>
        <w:t>«</w:t>
      </w:r>
      <w:r>
        <w:rPr>
          <w:b w:val="0"/>
          <w:sz w:val="28"/>
        </w:rPr>
        <w:t xml:space="preserve">О создании рабочей группы по внедрению  стандарта развития конкуренции на территории </w:t>
      </w:r>
      <w:r>
        <w:rPr>
          <w:b w:val="0"/>
          <w:sz w:val="28"/>
        </w:rPr>
        <w:t>Туапсинского муниципального</w:t>
      </w:r>
      <w:r>
        <w:rPr>
          <w:b w:val="0"/>
          <w:sz w:val="28"/>
        </w:rPr>
        <w:t xml:space="preserve"> округ</w:t>
      </w:r>
      <w:r>
        <w:rPr>
          <w:b w:val="0"/>
          <w:sz w:val="28"/>
        </w:rPr>
        <w:t>а»</w:t>
      </w:r>
    </w:p>
    <w:p w14:paraId="0A000000">
      <w:pPr>
        <w:tabs>
          <w:tab w:leader="none" w:pos="8080" w:val="left"/>
        </w:tabs>
        <w:ind w:firstLine="0" w:left="1134" w:right="1133"/>
        <w:jc w:val="center"/>
        <w:rPr>
          <w:sz w:val="28"/>
        </w:rPr>
      </w:pPr>
    </w:p>
    <w:p w14:paraId="0B000000">
      <w:pPr>
        <w:ind/>
        <w:jc w:val="center"/>
        <w:rPr>
          <w:b w:val="1"/>
        </w:rPr>
      </w:pPr>
    </w:p>
    <w:p w14:paraId="0C000000">
      <w:pPr>
        <w:ind w:firstLine="567" w:left="0"/>
        <w:jc w:val="both"/>
        <w:rPr>
          <w:color w:val="000000"/>
        </w:rPr>
      </w:pPr>
      <w:r>
        <w:t xml:space="preserve">Правовое управление администрации Туапсинского муниципального округа Краснодарского края,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муниципальный округ Краснодарского края, рассмотрев проект постановления администрации муниципального образования Туапсинский муниципальный округ </w:t>
      </w:r>
      <w:r>
        <w:t>«</w:t>
      </w:r>
      <w:r>
        <w:rPr>
          <w:b w:val="0"/>
          <w:sz w:val="28"/>
        </w:rPr>
        <w:t xml:space="preserve">О создании рабочей группы по внедрению  стандарта развития конкуренции на территории </w:t>
      </w:r>
      <w:r>
        <w:rPr>
          <w:b w:val="0"/>
          <w:sz w:val="28"/>
        </w:rPr>
        <w:t>Туапсинского муниципального</w:t>
      </w:r>
      <w:r>
        <w:rPr>
          <w:b w:val="0"/>
          <w:sz w:val="28"/>
        </w:rPr>
        <w:t xml:space="preserve"> округ</w:t>
      </w:r>
      <w:r>
        <w:rPr>
          <w:b w:val="0"/>
          <w:sz w:val="28"/>
        </w:rPr>
        <w:t>а</w:t>
      </w:r>
      <w:r>
        <w:t>»</w:t>
      </w:r>
      <w:bookmarkStart w:id="1" w:name="_GoBack"/>
      <w:bookmarkEnd w:id="1"/>
      <w:r>
        <w:rPr>
          <w:b w:val="1"/>
        </w:rPr>
        <w:t xml:space="preserve">, </w:t>
      </w:r>
      <w:r>
        <w:t>поступивший из управления экономического развития администрации Туапсинского муниципального округа установил:</w:t>
      </w:r>
    </w:p>
    <w:p w14:paraId="0D000000">
      <w:pPr>
        <w:ind w:firstLine="567" w:left="0"/>
        <w:jc w:val="both"/>
      </w:pPr>
      <w:r>
        <w:t>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14:paraId="0E000000">
      <w:pPr>
        <w:ind w:firstLine="567" w:left="0"/>
        <w:jc w:val="both"/>
      </w:pPr>
      <w:r>
        <w:rPr>
          <w:sz w:val="28"/>
        </w:rPr>
        <w:tab/>
      </w:r>
      <w:r>
        <w:rPr>
          <w:sz w:val="28"/>
        </w:rPr>
        <w:t>распоряжение Правительства Российской Федерации  от 17 апреля 2019 г. «Об утверждении стандарта развития конкуренции в субъектах Российской Федерации», Указом Президента Российской Федерации от 21 декабря 2017 г. № 618 «Об основных направлениях государственной политики по развитию конкуренции», с целью установления системного и единообразного подхода к осуществлению деятельности органов местного самоуправления для развития конкуренции между хозяйствующими субъектами в отраслях экономики Туапсинского муниципального округа</w:t>
      </w:r>
      <w:r>
        <w:t>.</w:t>
      </w:r>
    </w:p>
    <w:p w14:paraId="0F000000">
      <w:pPr>
        <w:ind w:firstLine="567" w:left="0"/>
        <w:jc w:val="both"/>
      </w:pPr>
      <w:r>
        <w:t xml:space="preserve">2. Проект нормативного правового акта размещен на сайте администрации </w:t>
      </w:r>
      <w:r>
        <w:t>Туапсинского муниципального округа</w:t>
      </w:r>
      <w:r>
        <w:rPr>
          <w:color w:val="000000"/>
        </w:rPr>
        <w:t xml:space="preserve"> </w:t>
      </w:r>
      <w:r>
        <w:rPr>
          <w:rStyle w:val="Style_1_ch"/>
        </w:rPr>
        <w:fldChar w:fldCharType="begin"/>
      </w:r>
      <w:r>
        <w:rPr>
          <w:rStyle w:val="Style_1_ch"/>
        </w:rPr>
        <w:instrText>HYPERLINK "http://www.tuapseregion.ru/"</w:instrText>
      </w:r>
      <w:r>
        <w:rPr>
          <w:rStyle w:val="Style_1_ch"/>
        </w:rPr>
        <w:fldChar w:fldCharType="separate"/>
      </w:r>
      <w:r>
        <w:rPr>
          <w:rStyle w:val="Style_1_ch"/>
        </w:rPr>
        <w:t>www</w:t>
      </w:r>
      <w:r>
        <w:rPr>
          <w:rStyle w:val="Style_1_ch"/>
        </w:rPr>
        <w:t>.</w:t>
      </w:r>
      <w:r>
        <w:rPr>
          <w:rStyle w:val="Style_1_ch"/>
        </w:rPr>
        <w:t>tuapseregion</w:t>
      </w:r>
      <w:r>
        <w:rPr>
          <w:rStyle w:val="Style_1_ch"/>
        </w:rPr>
        <w:t>.</w:t>
      </w:r>
      <w:r>
        <w:rPr>
          <w:rStyle w:val="Style_1_ch"/>
        </w:rPr>
        <w:t>ru</w:t>
      </w:r>
      <w:r>
        <w:rPr>
          <w:rStyle w:val="Style_1_ch"/>
        </w:rPr>
        <w:fldChar w:fldCharType="end"/>
      </w:r>
      <w:r>
        <w:rPr>
          <w:color w:val="000000"/>
        </w:rPr>
        <w:t xml:space="preserve">, в разделе «Документы», подразделе «Антикоррупционная экспертиза нормативных правовых актов (проектов)» </w:t>
      </w:r>
      <w:r>
        <w:t xml:space="preserve">для проведения независимой антикоррупционной экспертизы. </w:t>
      </w:r>
    </w:p>
    <w:p w14:paraId="10000000">
      <w:pPr>
        <w:ind w:firstLine="567" w:left="0"/>
        <w:jc w:val="both"/>
      </w:pPr>
      <w:r>
        <w:t>3. В ходе антикоррупционной экспертизы проекта нормативного правового акта коррупциогенные факторы не обнаружены.</w:t>
      </w:r>
    </w:p>
    <w:p w14:paraId="11000000">
      <w:pPr>
        <w:ind w:firstLine="567" w:left="0"/>
        <w:jc w:val="both"/>
      </w:pPr>
      <w:r>
        <w:t>4. Проект нормативного правового акта может быть рекомендован для официального принятия.</w:t>
      </w:r>
    </w:p>
    <w:p w14:paraId="12000000"/>
    <w:p w14:paraId="13000000"/>
    <w:p w14:paraId="14000000">
      <w:r>
        <w:t>Исполняющий</w:t>
      </w:r>
      <w:r>
        <w:t xml:space="preserve"> обязанности начальника</w:t>
      </w:r>
    </w:p>
    <w:p w14:paraId="15000000">
      <w:r>
        <w:t>правового управления администрации</w:t>
      </w:r>
    </w:p>
    <w:p w14:paraId="16000000">
      <w:r>
        <w:t>Туапсинского муниципального округа                                               М.А.</w:t>
      </w:r>
      <w:r>
        <w:t xml:space="preserve"> </w:t>
      </w:r>
      <w:r>
        <w:t>Синенко</w:t>
      </w:r>
    </w:p>
    <w:p w14:paraId="17000000"/>
    <w:sectPr>
      <w:pgSz w:h="16838" w:orient="portrait" w:w="11906"/>
      <w:pgMar w:bottom="1134" w:footer="709" w:gutter="0" w:header="709"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spacing w:after="0" w:line="240" w:lineRule="auto"/>
      <w:ind/>
    </w:pPr>
    <w:rPr>
      <w:rFonts w:ascii="Times New Roman" w:hAnsi="Times New Roman"/>
      <w:sz w:val="28"/>
    </w:rPr>
  </w:style>
  <w:style w:default="1" w:styleId="Style_2_ch" w:type="character">
    <w:name w:val="Normal"/>
    <w:link w:val="Style_2"/>
    <w:rPr>
      <w:rFonts w:ascii="Times New Roman" w:hAnsi="Times New Roman"/>
      <w:sz w:val="28"/>
    </w:rPr>
  </w:style>
  <w:style w:styleId="Style_3" w:type="paragraph">
    <w:name w:val="Default Paragraph Font"/>
    <w:link w:val="Style_3_ch"/>
  </w:style>
  <w:style w:styleId="Style_3_ch" w:type="character">
    <w:name w:val="Default Paragraph Font"/>
    <w:link w:val="Style_3"/>
  </w:style>
  <w:style w:styleId="Style_4" w:type="paragraph">
    <w:name w:val="toc 2"/>
    <w:next w:val="Style_2"/>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2"/>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2"/>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2"/>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Normal (Web)"/>
    <w:basedOn w:val="Style_2"/>
    <w:link w:val="Style_8_ch"/>
    <w:rPr>
      <w:sz w:val="24"/>
    </w:rPr>
  </w:style>
  <w:style w:styleId="Style_8_ch" w:type="character">
    <w:name w:val="Normal (Web)"/>
    <w:basedOn w:val="Style_2_ch"/>
    <w:link w:val="Style_8"/>
    <w:rPr>
      <w:sz w:val="24"/>
    </w:rPr>
  </w:style>
  <w:style w:styleId="Style_9" w:type="paragraph">
    <w:name w:val="Endnote"/>
    <w:link w:val="Style_9_ch"/>
    <w:pPr>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next w:val="Style_2"/>
    <w:link w:val="Style_10_ch"/>
    <w:uiPriority w:val="9"/>
    <w:qFormat/>
    <w:pPr>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toc 3"/>
    <w:next w:val="Style_2"/>
    <w:link w:val="Style_11_ch"/>
    <w:uiPriority w:val="39"/>
    <w:pPr>
      <w:ind w:firstLine="0" w:left="400"/>
      <w:jc w:val="left"/>
    </w:pPr>
    <w:rPr>
      <w:rFonts w:ascii="XO Thames" w:hAnsi="XO Thames"/>
      <w:sz w:val="28"/>
    </w:rPr>
  </w:style>
  <w:style w:styleId="Style_11_ch" w:type="character">
    <w:name w:val="toc 3"/>
    <w:link w:val="Style_11"/>
    <w:rPr>
      <w:rFonts w:ascii="XO Thames" w:hAnsi="XO Thames"/>
      <w:sz w:val="28"/>
    </w:rPr>
  </w:style>
  <w:style w:styleId="Style_12" w:type="paragraph">
    <w:name w:val="ConsPlusNormal"/>
    <w:link w:val="Style_12_ch"/>
    <w:pPr>
      <w:widowControl w:val="0"/>
      <w:spacing w:after="0" w:line="240" w:lineRule="auto"/>
      <w:ind/>
    </w:pPr>
    <w:rPr>
      <w:rFonts w:ascii="Calibri" w:hAnsi="Calibri"/>
    </w:rPr>
  </w:style>
  <w:style w:styleId="Style_12_ch" w:type="character">
    <w:name w:val="ConsPlusNormal"/>
    <w:link w:val="Style_12"/>
    <w:rPr>
      <w:rFonts w:ascii="Calibri" w:hAnsi="Calibri"/>
    </w:rPr>
  </w:style>
  <w:style w:styleId="Style_13" w:type="paragraph">
    <w:name w:val="heading 5"/>
    <w:next w:val="Style_2"/>
    <w:link w:val="Style_13_ch"/>
    <w:uiPriority w:val="9"/>
    <w:qFormat/>
    <w:pPr>
      <w:spacing w:after="120" w:before="120"/>
      <w:ind/>
      <w:jc w:val="both"/>
      <w:outlineLvl w:val="4"/>
    </w:pPr>
    <w:rPr>
      <w:rFonts w:ascii="XO Thames" w:hAnsi="XO Thames"/>
      <w:b w:val="1"/>
      <w:sz w:val="22"/>
    </w:rPr>
  </w:style>
  <w:style w:styleId="Style_13_ch" w:type="character">
    <w:name w:val="heading 5"/>
    <w:link w:val="Style_13"/>
    <w:rPr>
      <w:rFonts w:ascii="XO Thames" w:hAnsi="XO Thames"/>
      <w:b w:val="1"/>
      <w:sz w:val="22"/>
    </w:rPr>
  </w:style>
  <w:style w:styleId="Style_14" w:type="paragraph">
    <w:name w:val="heading 1"/>
    <w:next w:val="Style_2"/>
    <w:link w:val="Style_14_ch"/>
    <w:uiPriority w:val="9"/>
    <w:qFormat/>
    <w:pPr>
      <w:spacing w:after="120" w:before="120"/>
      <w:ind/>
      <w:jc w:val="both"/>
      <w:outlineLvl w:val="0"/>
    </w:pPr>
    <w:rPr>
      <w:rFonts w:ascii="XO Thames" w:hAnsi="XO Thames"/>
      <w:b w:val="1"/>
      <w:sz w:val="32"/>
    </w:rPr>
  </w:style>
  <w:style w:styleId="Style_14_ch" w:type="character">
    <w:name w:val="heading 1"/>
    <w:link w:val="Style_14"/>
    <w:rPr>
      <w:rFonts w:ascii="XO Thames" w:hAnsi="XO Thames"/>
      <w:b w:val="1"/>
      <w:sz w:val="32"/>
    </w:rPr>
  </w:style>
  <w:style w:styleId="Style_15" w:type="paragraph">
    <w:name w:val="Balloon Text"/>
    <w:basedOn w:val="Style_2"/>
    <w:link w:val="Style_15_ch"/>
    <w:rPr>
      <w:rFonts w:ascii="Tahoma" w:hAnsi="Tahoma"/>
      <w:sz w:val="16"/>
    </w:rPr>
  </w:style>
  <w:style w:styleId="Style_15_ch" w:type="character">
    <w:name w:val="Balloon Text"/>
    <w:basedOn w:val="Style_2_ch"/>
    <w:link w:val="Style_15"/>
    <w:rPr>
      <w:rFonts w:ascii="Tahoma" w:hAnsi="Tahoma"/>
      <w:sz w:val="16"/>
    </w:rPr>
  </w:style>
  <w:style w:styleId="Style_1" w:type="paragraph">
    <w:name w:val="Hyperlink"/>
    <w:basedOn w:val="Style_3"/>
    <w:link w:val="Style_1_ch"/>
    <w:rPr>
      <w:color w:val="0000FF"/>
      <w:u w:val="single"/>
    </w:rPr>
  </w:style>
  <w:style w:styleId="Style_1_ch" w:type="character">
    <w:name w:val="Hyperlink"/>
    <w:basedOn w:val="Style_3_ch"/>
    <w:link w:val="Style_1"/>
    <w:rPr>
      <w:color w:val="0000FF"/>
      <w:u w:val="single"/>
    </w:rPr>
  </w:style>
  <w:style w:styleId="Style_16" w:type="paragraph">
    <w:name w:val="Footnote"/>
    <w:link w:val="Style_16_ch"/>
    <w:pPr>
      <w:ind w:firstLine="851" w:left="0"/>
      <w:jc w:val="both"/>
    </w:pPr>
    <w:rPr>
      <w:rFonts w:ascii="XO Thames" w:hAnsi="XO Thames"/>
      <w:sz w:val="22"/>
    </w:rPr>
  </w:style>
  <w:style w:styleId="Style_16_ch" w:type="character">
    <w:name w:val="Footnote"/>
    <w:link w:val="Style_16"/>
    <w:rPr>
      <w:rFonts w:ascii="XO Thames" w:hAnsi="XO Thames"/>
      <w:sz w:val="22"/>
    </w:rPr>
  </w:style>
  <w:style w:styleId="Style_17" w:type="paragraph">
    <w:name w:val="toc 1"/>
    <w:next w:val="Style_2"/>
    <w:link w:val="Style_17_ch"/>
    <w:uiPriority w:val="39"/>
    <w:pPr>
      <w:ind w:firstLine="0" w:left="0"/>
      <w:jc w:val="left"/>
    </w:pPr>
    <w:rPr>
      <w:rFonts w:ascii="XO Thames" w:hAnsi="XO Thames"/>
      <w:b w:val="1"/>
      <w:sz w:val="28"/>
    </w:rPr>
  </w:style>
  <w:style w:styleId="Style_17_ch" w:type="character">
    <w:name w:val="toc 1"/>
    <w:link w:val="Style_17"/>
    <w:rPr>
      <w:rFonts w:ascii="XO Thames" w:hAnsi="XO Thames"/>
      <w:b w:val="1"/>
      <w:sz w:val="28"/>
    </w:rPr>
  </w:style>
  <w:style w:styleId="Style_18" w:type="paragraph">
    <w:name w:val="Strong"/>
    <w:link w:val="Style_18_ch"/>
    <w:rPr>
      <w:rFonts w:ascii="Times New Roman" w:hAnsi="Times New Roman"/>
      <w:b w:val="1"/>
    </w:rPr>
  </w:style>
  <w:style w:styleId="Style_18_ch" w:type="character">
    <w:name w:val="Strong"/>
    <w:link w:val="Style_18"/>
    <w:rPr>
      <w:rFonts w:ascii="Times New Roman" w:hAnsi="Times New Roman"/>
      <w:b w:val="1"/>
    </w:rPr>
  </w:style>
  <w:style w:styleId="Style_19" w:type="paragraph">
    <w:name w:val="Header and Footer"/>
    <w:link w:val="Style_19_ch"/>
    <w:pPr>
      <w:spacing w:line="240" w:lineRule="auto"/>
      <w:ind/>
      <w:jc w:val="both"/>
    </w:pPr>
    <w:rPr>
      <w:rFonts w:ascii="XO Thames" w:hAnsi="XO Thames"/>
      <w:sz w:val="28"/>
    </w:rPr>
  </w:style>
  <w:style w:styleId="Style_19_ch" w:type="character">
    <w:name w:val="Header and Footer"/>
    <w:link w:val="Style_19"/>
    <w:rPr>
      <w:rFonts w:ascii="XO Thames" w:hAnsi="XO Thames"/>
      <w:sz w:val="28"/>
    </w:rPr>
  </w:style>
  <w:style w:styleId="Style_20" w:type="paragraph">
    <w:name w:val="toc 9"/>
    <w:next w:val="Style_2"/>
    <w:link w:val="Style_20_ch"/>
    <w:uiPriority w:val="39"/>
    <w:pPr>
      <w:ind w:firstLine="0" w:left="1600"/>
      <w:jc w:val="left"/>
    </w:pPr>
    <w:rPr>
      <w:rFonts w:ascii="XO Thames" w:hAnsi="XO Thames"/>
      <w:sz w:val="28"/>
    </w:rPr>
  </w:style>
  <w:style w:styleId="Style_20_ch" w:type="character">
    <w:name w:val="toc 9"/>
    <w:link w:val="Style_20"/>
    <w:rPr>
      <w:rFonts w:ascii="XO Thames" w:hAnsi="XO Thames"/>
      <w:sz w:val="28"/>
    </w:rPr>
  </w:style>
  <w:style w:styleId="Style_21" w:type="paragraph">
    <w:name w:val="toc 8"/>
    <w:next w:val="Style_2"/>
    <w:link w:val="Style_21_ch"/>
    <w:uiPriority w:val="39"/>
    <w:pPr>
      <w:ind w:firstLine="0" w:left="1400"/>
      <w:jc w:val="left"/>
    </w:pPr>
    <w:rPr>
      <w:rFonts w:ascii="XO Thames" w:hAnsi="XO Thames"/>
      <w:sz w:val="28"/>
    </w:rPr>
  </w:style>
  <w:style w:styleId="Style_21_ch" w:type="character">
    <w:name w:val="toc 8"/>
    <w:link w:val="Style_21"/>
    <w:rPr>
      <w:rFonts w:ascii="XO Thames" w:hAnsi="XO Thames"/>
      <w:sz w:val="28"/>
    </w:rPr>
  </w:style>
  <w:style w:styleId="Style_22" w:type="paragraph">
    <w:name w:val="toc 5"/>
    <w:next w:val="Style_2"/>
    <w:link w:val="Style_22_ch"/>
    <w:uiPriority w:val="39"/>
    <w:pPr>
      <w:ind w:firstLine="0" w:left="800"/>
      <w:jc w:val="left"/>
    </w:pPr>
    <w:rPr>
      <w:rFonts w:ascii="XO Thames" w:hAnsi="XO Thames"/>
      <w:sz w:val="28"/>
    </w:rPr>
  </w:style>
  <w:style w:styleId="Style_22_ch" w:type="character">
    <w:name w:val="toc 5"/>
    <w:link w:val="Style_22"/>
    <w:rPr>
      <w:rFonts w:ascii="XO Thames" w:hAnsi="XO Thames"/>
      <w:sz w:val="28"/>
    </w:rPr>
  </w:style>
  <w:style w:styleId="Style_23" w:type="paragraph">
    <w:name w:val="Subtitle"/>
    <w:next w:val="Style_2"/>
    <w:link w:val="Style_23_ch"/>
    <w:uiPriority w:val="11"/>
    <w:qFormat/>
    <w:pPr>
      <w:ind/>
      <w:jc w:val="both"/>
    </w:pPr>
    <w:rPr>
      <w:rFonts w:ascii="XO Thames" w:hAnsi="XO Thames"/>
      <w:i w:val="1"/>
      <w:sz w:val="24"/>
    </w:rPr>
  </w:style>
  <w:style w:styleId="Style_23_ch" w:type="character">
    <w:name w:val="Subtitle"/>
    <w:link w:val="Style_23"/>
    <w:rPr>
      <w:rFonts w:ascii="XO Thames" w:hAnsi="XO Thames"/>
      <w:i w:val="1"/>
      <w:sz w:val="24"/>
    </w:rPr>
  </w:style>
  <w:style w:styleId="Style_24" w:type="paragraph">
    <w:name w:val="Title"/>
    <w:next w:val="Style_2"/>
    <w:link w:val="Style_24_ch"/>
    <w:uiPriority w:val="10"/>
    <w:qFormat/>
    <w:pPr>
      <w:spacing w:after="567" w:before="567"/>
      <w:ind/>
      <w:jc w:val="center"/>
    </w:pPr>
    <w:rPr>
      <w:rFonts w:ascii="XO Thames" w:hAnsi="XO Thames"/>
      <w:b w:val="1"/>
      <w:caps w:val="1"/>
      <w:sz w:val="40"/>
    </w:rPr>
  </w:style>
  <w:style w:styleId="Style_24_ch" w:type="character">
    <w:name w:val="Title"/>
    <w:link w:val="Style_24"/>
    <w:rPr>
      <w:rFonts w:ascii="XO Thames" w:hAnsi="XO Thames"/>
      <w:b w:val="1"/>
      <w:caps w:val="1"/>
      <w:sz w:val="40"/>
    </w:rPr>
  </w:style>
  <w:style w:styleId="Style_25" w:type="paragraph">
    <w:name w:val="heading 4"/>
    <w:next w:val="Style_2"/>
    <w:link w:val="Style_25_ch"/>
    <w:uiPriority w:val="9"/>
    <w:qFormat/>
    <w:pPr>
      <w:spacing w:after="120" w:before="120"/>
      <w:ind/>
      <w:jc w:val="both"/>
      <w:outlineLvl w:val="3"/>
    </w:pPr>
    <w:rPr>
      <w:rFonts w:ascii="XO Thames" w:hAnsi="XO Thames"/>
      <w:b w:val="1"/>
      <w:sz w:val="24"/>
    </w:rPr>
  </w:style>
  <w:style w:styleId="Style_25_ch" w:type="character">
    <w:name w:val="heading 4"/>
    <w:link w:val="Style_25"/>
    <w:rPr>
      <w:rFonts w:ascii="XO Thames" w:hAnsi="XO Thames"/>
      <w:b w:val="1"/>
      <w:sz w:val="24"/>
    </w:rPr>
  </w:style>
  <w:style w:styleId="Style_26" w:type="paragraph">
    <w:name w:val="heading 2"/>
    <w:next w:val="Style_2"/>
    <w:link w:val="Style_26_ch"/>
    <w:uiPriority w:val="9"/>
    <w:qFormat/>
    <w:pPr>
      <w:spacing w:after="120" w:before="120"/>
      <w:ind/>
      <w:jc w:val="both"/>
      <w:outlineLvl w:val="1"/>
    </w:pPr>
    <w:rPr>
      <w:rFonts w:ascii="XO Thames" w:hAnsi="XO Thames"/>
      <w:b w:val="1"/>
      <w:sz w:val="28"/>
    </w:rPr>
  </w:style>
  <w:style w:styleId="Style_26_ch" w:type="character">
    <w:name w:val="heading 2"/>
    <w:link w:val="Style_26"/>
    <w:rPr>
      <w:rFonts w:ascii="XO Thames" w:hAnsi="XO Thames"/>
      <w:b w:val="1"/>
      <w:sz w:val="28"/>
    </w:rPr>
  </w:style>
  <w:style w:styleId="Style_27" w:type="table">
    <w:name w:val="Table Grid"/>
    <w:basedOn w:val="Style_28"/>
    <w:pPr>
      <w:spacing w:after="0" w:line="240" w:lineRule="auto"/>
      <w:ind/>
    </w:pPr>
    <w:rPr>
      <w:rFonts w:ascii="Times New Roman" w:hAnsi="Times New Roman"/>
      <w:sz w:val="20"/>
    </w:rPr>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default="1" w:styleId="Style_28"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MyOffice-CoreFramework-Linux/32-1208.815.9166.836.1@c028b4579ab889516ede6e689f46f6dad43bf900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2025-03-03T11:28:10Z</dcterms:modified>
</cp:coreProperties>
</file>