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header4.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tabs>
          <w:tab w:val="clear" w:pos="708"/>
          <w:tab w:val="left" w:pos="993" w:leader="none"/>
        </w:tabs>
        <w:spacing w:lineRule="auto" w:line="240" w:before="0" w:after="0"/>
        <w:ind w:left="5670" w:hanging="0"/>
        <w:contextualSpacing/>
        <w:jc w:val="left"/>
        <w:rPr>
          <w:rFonts w:eastAsia="Times New Roman" w:cs="Times New Roman"/>
          <w:szCs w:val="28"/>
          <w:lang w:eastAsia="ru-RU"/>
        </w:rPr>
      </w:pPr>
      <w:r>
        <w:rPr>
          <w:rFonts w:eastAsia="Times New Roman" w:cs="Times New Roman"/>
          <w:szCs w:val="28"/>
          <w:lang w:eastAsia="ru-RU"/>
        </w:rPr>
        <w:t>Приложение 2</w:t>
      </w:r>
    </w:p>
    <w:p>
      <w:pPr>
        <w:pStyle w:val="ListParagraph"/>
        <w:tabs>
          <w:tab w:val="clear" w:pos="708"/>
          <w:tab w:val="left" w:pos="993" w:leader="none"/>
        </w:tabs>
        <w:spacing w:lineRule="auto" w:line="240" w:before="0" w:after="0"/>
        <w:ind w:left="5670" w:hanging="0"/>
        <w:contextualSpacing/>
        <w:jc w:val="left"/>
        <w:rPr>
          <w:rFonts w:eastAsia="Times New Roman" w:cs="Times New Roman"/>
          <w:szCs w:val="28"/>
          <w:lang w:eastAsia="ru-RU"/>
        </w:rPr>
      </w:pPr>
      <w:r>
        <w:rPr>
          <w:rFonts w:eastAsia="Times New Roman" w:cs="Times New Roman"/>
          <w:szCs w:val="28"/>
          <w:lang w:eastAsia="ru-RU"/>
        </w:rPr>
      </w:r>
    </w:p>
    <w:p>
      <w:pPr>
        <w:pStyle w:val="ListParagraph"/>
        <w:tabs>
          <w:tab w:val="clear" w:pos="708"/>
          <w:tab w:val="left" w:pos="993" w:leader="none"/>
        </w:tabs>
        <w:spacing w:lineRule="auto" w:line="240" w:before="0" w:after="0"/>
        <w:ind w:left="5670" w:hanging="0"/>
        <w:contextualSpacing/>
        <w:jc w:val="left"/>
        <w:rPr>
          <w:rFonts w:eastAsia="Times New Roman" w:cs="Times New Roman"/>
          <w:szCs w:val="28"/>
          <w:lang w:eastAsia="ru-RU"/>
        </w:rPr>
      </w:pPr>
      <w:r>
        <w:rPr>
          <w:rFonts w:eastAsia="Times New Roman" w:cs="Times New Roman"/>
          <w:szCs w:val="28"/>
          <w:lang w:eastAsia="ru-RU"/>
        </w:rPr>
        <w:t xml:space="preserve">УТВЕРЖДЕН </w:t>
      </w:r>
    </w:p>
    <w:p>
      <w:pPr>
        <w:pStyle w:val="ListParagraph"/>
        <w:tabs>
          <w:tab w:val="clear" w:pos="708"/>
          <w:tab w:val="left" w:pos="993" w:leader="none"/>
        </w:tabs>
        <w:spacing w:lineRule="auto" w:line="240" w:before="0" w:after="0"/>
        <w:ind w:left="5670" w:hanging="0"/>
        <w:contextualSpacing/>
        <w:jc w:val="left"/>
        <w:rPr>
          <w:rFonts w:eastAsia="Times New Roman" w:cs="Times New Roman"/>
          <w:szCs w:val="28"/>
          <w:lang w:eastAsia="ru-RU"/>
        </w:rPr>
      </w:pPr>
      <w:r>
        <mc:AlternateContent>
          <mc:Choice Requires="wps">
            <w:drawing>
              <wp:anchor behindDoc="0" distT="0" distB="0" distL="0" distR="0" simplePos="0" locked="0" layoutInCell="1" allowOverlap="1" relativeHeight="2" wp14:anchorId="7240352B">
                <wp:simplePos x="0" y="0"/>
                <wp:positionH relativeFrom="column">
                  <wp:posOffset>8030845</wp:posOffset>
                </wp:positionH>
                <wp:positionV relativeFrom="paragraph">
                  <wp:posOffset>393700</wp:posOffset>
                </wp:positionV>
                <wp:extent cx="362585" cy="1029335"/>
                <wp:effectExtent l="0" t="0" r="0" b="0"/>
                <wp:wrapNone/>
                <wp:docPr id="1" name="Надпись 4"/>
                <a:graphic xmlns:a="http://schemas.openxmlformats.org/drawingml/2006/main">
                  <a:graphicData uri="http://schemas.microsoft.com/office/word/2010/wordprocessingShape">
                    <wps:wsp>
                      <wps:cNvSpPr/>
                      <wps:spPr>
                        <a:xfrm>
                          <a:off x="0" y="0"/>
                          <a:ext cx="361800" cy="1028880"/>
                        </a:xfrm>
                        <a:prstGeom prst="rect">
                          <a:avLst/>
                        </a:prstGeom>
                        <a:solidFill>
                          <a:srgbClr val="ffffff"/>
                        </a:solidFill>
                        <a:ln w="6480">
                          <a:noFill/>
                        </a:ln>
                      </wps:spPr>
                      <wps:style>
                        <a:lnRef idx="0"/>
                        <a:fillRef idx="0"/>
                        <a:effectRef idx="0"/>
                        <a:fontRef idx="minor"/>
                      </wps:style>
                      <wps:txbx>
                        <w:txbxContent>
                          <w:p>
                            <w:pPr>
                              <w:pStyle w:val="Style37"/>
                              <w:spacing w:before="0" w:after="200"/>
                              <w:rPr/>
                            </w:pPr>
                            <w:r>
                              <w:rPr/>
                            </w:r>
                          </w:p>
                        </w:txbxContent>
                      </wps:txbx>
                      <wps:bodyPr>
                        <a:prstTxWarp prst="textNoShape"/>
                        <a:noAutofit/>
                      </wps:bodyPr>
                    </wps:wsp>
                  </a:graphicData>
                </a:graphic>
              </wp:anchor>
            </w:drawing>
          </mc:Choice>
          <mc:Fallback>
            <w:pict>
              <v:rect id="shape_0" ID="Надпись 4" fillcolor="white" stroked="f" style="position:absolute;margin-left:632.35pt;margin-top:31pt;width:28.45pt;height:80.95pt" wp14:anchorId="7240352B">
                <w10:wrap type="none"/>
                <v:fill o:detectmouseclick="t" type="solid" color2="black"/>
                <v:stroke color="#3465a4" weight="6480" joinstyle="round" endcap="flat"/>
                <v:textbox>
                  <w:txbxContent>
                    <w:p>
                      <w:pPr>
                        <w:pStyle w:val="Style37"/>
                        <w:spacing w:before="0" w:after="200"/>
                        <w:rPr/>
                      </w:pPr>
                      <w:r>
                        <w:rPr/>
                      </w:r>
                    </w:p>
                  </w:txbxContent>
                </v:textbox>
              </v:rect>
            </w:pict>
          </mc:Fallback>
        </mc:AlternateContent>
      </w:r>
      <w:r>
        <w:rPr>
          <w:rFonts w:eastAsia="Times New Roman" w:cs="Times New Roman"/>
          <w:szCs w:val="28"/>
          <w:lang w:eastAsia="ru-RU"/>
        </w:rPr>
        <w:t xml:space="preserve">распоряжением главы </w:t>
        <w:br/>
        <w:t xml:space="preserve">администрации (губернатора) Краснодарского края </w:t>
      </w:r>
    </w:p>
    <w:p>
      <w:pPr>
        <w:pStyle w:val="ListParagraph"/>
        <w:tabs>
          <w:tab w:val="clear" w:pos="708"/>
          <w:tab w:val="left" w:pos="993" w:leader="none"/>
        </w:tabs>
        <w:spacing w:lineRule="auto" w:line="240" w:before="0" w:after="0"/>
        <w:ind w:left="5670" w:hanging="0"/>
        <w:contextualSpacing/>
        <w:jc w:val="left"/>
        <w:rPr>
          <w:rFonts w:eastAsia="Times New Roman" w:cs="Times New Roman"/>
          <w:szCs w:val="28"/>
          <w:lang w:eastAsia="ru-RU"/>
        </w:rPr>
      </w:pPr>
      <w:r>
        <w:rPr>
          <w:rFonts w:eastAsia="Times New Roman" w:cs="Times New Roman"/>
          <w:szCs w:val="28"/>
          <w:lang w:eastAsia="ru-RU"/>
        </w:rPr>
        <w:t xml:space="preserve">от _________ 2021 г. № </w:t>
        <w:softHyphen/>
        <w:softHyphen/>
        <w:softHyphen/>
        <w:softHyphen/>
        <w:softHyphen/>
        <w:softHyphen/>
        <w:softHyphen/>
        <w:softHyphen/>
        <w:softHyphen/>
        <w:t>_____</w:t>
      </w:r>
    </w:p>
    <w:p>
      <w:pPr>
        <w:pStyle w:val="Normal"/>
        <w:spacing w:lineRule="auto" w:line="240" w:before="0" w:after="0"/>
        <w:ind w:left="5670" w:right="-31" w:hanging="0"/>
        <w:jc w:val="left"/>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ind w:left="5670" w:right="-31" w:hanging="0"/>
        <w:jc w:val="left"/>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ind w:right="-31" w:hanging="0"/>
        <w:jc w:val="center"/>
        <w:rPr>
          <w:rFonts w:eastAsia="Times New Roman" w:cs="Times New Roman"/>
          <w:b/>
          <w:b/>
          <w:kern w:val="2"/>
          <w:szCs w:val="28"/>
          <w:lang w:eastAsia="ru-RU"/>
        </w:rPr>
      </w:pPr>
      <w:bookmarkStart w:id="0" w:name="__DdeLink__28708_1185657521"/>
      <w:r>
        <w:rPr>
          <w:rFonts w:eastAsia="Times New Roman" w:cs="Times New Roman"/>
          <w:b/>
          <w:kern w:val="2"/>
          <w:szCs w:val="28"/>
          <w:lang w:eastAsia="ru-RU"/>
        </w:rPr>
        <w:t xml:space="preserve">ПЛАН МЕРОПРИЯТИЙ </w:t>
      </w:r>
    </w:p>
    <w:p>
      <w:pPr>
        <w:pStyle w:val="Normal"/>
        <w:spacing w:lineRule="auto" w:line="240" w:before="0" w:after="0"/>
        <w:ind w:right="-31" w:hanging="0"/>
        <w:jc w:val="center"/>
        <w:rPr>
          <w:rFonts w:eastAsia="Times New Roman" w:cs="Times New Roman"/>
          <w:b/>
          <w:b/>
          <w:kern w:val="2"/>
          <w:szCs w:val="28"/>
          <w:lang w:eastAsia="ru-RU"/>
        </w:rPr>
      </w:pPr>
      <w:r>
        <w:rPr>
          <w:rFonts w:eastAsia="Times New Roman" w:cs="Times New Roman"/>
          <w:b/>
          <w:kern w:val="2"/>
          <w:szCs w:val="28"/>
          <w:lang w:eastAsia="ru-RU"/>
        </w:rPr>
        <w:t xml:space="preserve">(«дорожная карта») </w:t>
      </w:r>
    </w:p>
    <w:p>
      <w:pPr>
        <w:pStyle w:val="Normal"/>
        <w:spacing w:lineRule="auto" w:line="240" w:before="0" w:after="0"/>
        <w:ind w:right="-31" w:hanging="0"/>
        <w:jc w:val="center"/>
        <w:rPr>
          <w:rFonts w:eastAsia="Times New Roman" w:cs="Times New Roman"/>
          <w:b/>
          <w:b/>
          <w:kern w:val="2"/>
          <w:szCs w:val="28"/>
          <w:lang w:eastAsia="ru-RU"/>
        </w:rPr>
      </w:pPr>
      <w:bookmarkStart w:id="1" w:name="__DdeLink__28708_1185657521"/>
      <w:r>
        <w:rPr>
          <w:rFonts w:eastAsia="Times New Roman" w:cs="Times New Roman"/>
          <w:b/>
          <w:kern w:val="2"/>
          <w:szCs w:val="28"/>
          <w:lang w:eastAsia="ru-RU"/>
        </w:rPr>
        <w:t xml:space="preserve">по содействию развитию конкуренции в Краснодарском крае </w:t>
      </w:r>
      <w:bookmarkEnd w:id="1"/>
    </w:p>
    <w:p>
      <w:pPr>
        <w:pStyle w:val="Normal"/>
        <w:spacing w:lineRule="auto" w:line="240" w:before="0" w:after="0"/>
        <w:ind w:right="-31" w:hanging="0"/>
        <w:jc w:val="center"/>
        <w:rPr>
          <w:rFonts w:eastAsia="Times New Roman" w:cs="Times New Roman"/>
          <w:b/>
          <w:b/>
          <w:kern w:val="2"/>
          <w:szCs w:val="28"/>
          <w:lang w:eastAsia="ru-RU"/>
        </w:rPr>
      </w:pPr>
      <w:r>
        <w:rPr>
          <w:rFonts w:eastAsia="Times New Roman" w:cs="Times New Roman"/>
          <w:b/>
          <w:kern w:val="2"/>
          <w:szCs w:val="28"/>
          <w:lang w:eastAsia="ru-RU"/>
        </w:rPr>
      </w:r>
    </w:p>
    <w:p>
      <w:pPr>
        <w:pStyle w:val="Normal"/>
        <w:widowControl w:val="false"/>
        <w:shd w:val="clear" w:color="auto" w:fill="FFFFFF"/>
        <w:spacing w:lineRule="auto" w:line="240" w:before="0" w:after="0"/>
        <w:ind w:right="-1" w:hanging="0"/>
        <w:jc w:val="center"/>
        <w:rPr>
          <w:rFonts w:cs="Times New Roman"/>
          <w:spacing w:val="1"/>
          <w:sz w:val="24"/>
        </w:rPr>
      </w:pPr>
      <w:r>
        <w:rPr>
          <w:rFonts w:cs="Times New Roman"/>
          <w:spacing w:val="1"/>
          <w:sz w:val="24"/>
        </w:rPr>
        <w:t xml:space="preserve">Раздел 1. Перечень товарных рынков (сфер экономики) для содействия развитию </w:t>
        <w:br/>
        <w:t>конкуренции в Краснодарском крае.</w:t>
      </w:r>
    </w:p>
    <w:p>
      <w:pPr>
        <w:pStyle w:val="Normal"/>
        <w:widowControl w:val="false"/>
        <w:shd w:val="clear" w:color="auto" w:fill="FFFFFF"/>
        <w:tabs>
          <w:tab w:val="clear" w:pos="708"/>
          <w:tab w:val="left" w:pos="1134" w:leader="none"/>
        </w:tabs>
        <w:spacing w:lineRule="auto" w:line="240" w:before="0" w:after="0"/>
        <w:ind w:left="928" w:right="-1" w:hanging="0"/>
        <w:jc w:val="right"/>
        <w:rPr>
          <w:rFonts w:cs="Times New Roman"/>
          <w:spacing w:val="1"/>
          <w:sz w:val="22"/>
        </w:rPr>
      </w:pPr>
      <w:r>
        <w:rPr>
          <w:rFonts w:cs="Times New Roman"/>
          <w:spacing w:val="1"/>
          <w:sz w:val="22"/>
        </w:rPr>
      </w:r>
    </w:p>
    <w:p>
      <w:pPr>
        <w:pStyle w:val="Normal"/>
        <w:spacing w:lineRule="auto" w:line="240" w:before="0" w:after="0"/>
        <w:ind w:left="900" w:hanging="191"/>
        <w:contextualSpacing/>
        <w:rPr>
          <w:rFonts w:cs="Times New Roman"/>
          <w:sz w:val="24"/>
        </w:rPr>
      </w:pPr>
      <w:r>
        <w:rPr>
          <w:rFonts w:cs="Times New Roman"/>
          <w:sz w:val="24"/>
        </w:rPr>
        <w:t>1. Рынок дошкольного образования.</w:t>
      </w:r>
    </w:p>
    <w:p>
      <w:pPr>
        <w:pStyle w:val="Normal"/>
        <w:spacing w:lineRule="auto" w:line="240" w:before="0" w:after="0"/>
        <w:ind w:firstLine="709"/>
        <w:rPr>
          <w:rFonts w:cs="Times New Roman"/>
          <w:sz w:val="24"/>
        </w:rPr>
      </w:pPr>
      <w:r>
        <w:rPr>
          <w:rFonts w:cs="Times New Roman"/>
          <w:sz w:val="24"/>
        </w:rPr>
        <w:t>2. Рынок общего образования.</w:t>
      </w:r>
    </w:p>
    <w:p>
      <w:pPr>
        <w:pStyle w:val="Normal"/>
        <w:spacing w:lineRule="auto" w:line="240" w:before="0" w:after="0"/>
        <w:ind w:firstLine="709"/>
        <w:rPr>
          <w:rFonts w:cs="Times New Roman"/>
          <w:sz w:val="24"/>
        </w:rPr>
      </w:pPr>
      <w:r>
        <w:rPr>
          <w:rFonts w:cs="Times New Roman"/>
          <w:sz w:val="24"/>
        </w:rPr>
        <w:t>3. Рынок среднего профессионального образования.</w:t>
      </w:r>
    </w:p>
    <w:p>
      <w:pPr>
        <w:pStyle w:val="Normal"/>
        <w:spacing w:lineRule="auto" w:line="240" w:before="0" w:after="0"/>
        <w:ind w:firstLine="709"/>
        <w:rPr>
          <w:rFonts w:cs="Times New Roman"/>
          <w:sz w:val="24"/>
        </w:rPr>
      </w:pPr>
      <w:r>
        <w:rPr>
          <w:rFonts w:cs="Times New Roman"/>
          <w:sz w:val="24"/>
        </w:rPr>
        <w:t>4. Рынок дополнительного образования детей.</w:t>
      </w:r>
    </w:p>
    <w:p>
      <w:pPr>
        <w:pStyle w:val="Normal"/>
        <w:spacing w:lineRule="auto" w:line="240" w:before="0" w:after="0"/>
        <w:ind w:firstLine="709"/>
        <w:rPr>
          <w:rFonts w:cs="Times New Roman"/>
          <w:sz w:val="24"/>
        </w:rPr>
      </w:pPr>
      <w:r>
        <w:rPr>
          <w:rFonts w:cs="Times New Roman"/>
          <w:sz w:val="24"/>
        </w:rPr>
        <w:t>5. Рынок детского отдыха и оздоровления.</w:t>
      </w:r>
    </w:p>
    <w:p>
      <w:pPr>
        <w:pStyle w:val="Normal"/>
        <w:spacing w:lineRule="auto" w:line="240" w:before="0" w:after="0"/>
        <w:ind w:firstLine="709"/>
        <w:rPr>
          <w:rFonts w:cs="Times New Roman"/>
          <w:sz w:val="24"/>
        </w:rPr>
      </w:pPr>
      <w:r>
        <w:rPr>
          <w:rFonts w:cs="Times New Roman"/>
          <w:sz w:val="24"/>
        </w:rPr>
        <w:t>6. Рынок медицинских услуг.</w:t>
      </w:r>
    </w:p>
    <w:p>
      <w:pPr>
        <w:pStyle w:val="Normal"/>
        <w:spacing w:lineRule="auto" w:line="240" w:before="0" w:after="0"/>
        <w:ind w:firstLine="709"/>
        <w:rPr>
          <w:rFonts w:cs="Times New Roman"/>
          <w:sz w:val="24"/>
        </w:rPr>
      </w:pPr>
      <w:r>
        <w:rPr>
          <w:rFonts w:cs="Times New Roman"/>
          <w:sz w:val="24"/>
        </w:rPr>
        <w:t xml:space="preserve">7. Рынок розничной торговли лекарственными препаратами, медицинскими изделиями. </w:t>
      </w:r>
    </w:p>
    <w:p>
      <w:pPr>
        <w:pStyle w:val="Normal"/>
        <w:spacing w:lineRule="auto" w:line="240" w:before="0" w:after="0"/>
        <w:ind w:firstLine="709"/>
        <w:rPr>
          <w:rFonts w:cs="Times New Roman"/>
          <w:sz w:val="24"/>
        </w:rPr>
      </w:pPr>
      <w:r>
        <w:rPr>
          <w:rFonts w:cs="Times New Roman"/>
          <w:sz w:val="24"/>
        </w:rPr>
        <w:t>8. Рынок социальных услуг.</w:t>
      </w:r>
    </w:p>
    <w:p>
      <w:pPr>
        <w:pStyle w:val="Normal"/>
        <w:spacing w:lineRule="auto" w:line="240" w:before="0" w:after="0"/>
        <w:ind w:firstLine="709"/>
        <w:rPr>
          <w:rFonts w:cs="Times New Roman"/>
          <w:sz w:val="24"/>
        </w:rPr>
      </w:pPr>
      <w:r>
        <w:rPr>
          <w:rFonts w:cs="Times New Roman"/>
          <w:sz w:val="24"/>
        </w:rPr>
        <w:t>9. Рынок ритуальных услуг.</w:t>
      </w:r>
    </w:p>
    <w:p>
      <w:pPr>
        <w:pStyle w:val="Normal"/>
        <w:spacing w:lineRule="auto" w:line="240" w:before="0" w:after="0"/>
        <w:ind w:firstLine="709"/>
        <w:rPr>
          <w:rFonts w:cs="Times New Roman"/>
          <w:sz w:val="24"/>
        </w:rPr>
      </w:pPr>
      <w:r>
        <w:rPr>
          <w:rFonts w:cs="Times New Roman"/>
          <w:sz w:val="24"/>
        </w:rPr>
        <w:t>10. Рынок теплоснабжения (производство тепловой энергии).</w:t>
      </w:r>
    </w:p>
    <w:p>
      <w:pPr>
        <w:pStyle w:val="Normal"/>
        <w:spacing w:lineRule="auto" w:line="240" w:before="0" w:after="0"/>
        <w:ind w:firstLine="709"/>
        <w:rPr>
          <w:rFonts w:cs="Times New Roman"/>
          <w:sz w:val="24"/>
        </w:rPr>
      </w:pPr>
      <w:r>
        <w:rPr>
          <w:rFonts w:cs="Times New Roman"/>
          <w:sz w:val="24"/>
        </w:rPr>
        <w:t>11. Сфера обращения с твердыми коммунальными отходами.</w:t>
      </w:r>
    </w:p>
    <w:p>
      <w:pPr>
        <w:pStyle w:val="Normal"/>
        <w:spacing w:lineRule="auto" w:line="240" w:before="0" w:after="0"/>
        <w:ind w:firstLine="709"/>
        <w:rPr>
          <w:rFonts w:cs="Times New Roman"/>
          <w:sz w:val="24"/>
        </w:rPr>
      </w:pPr>
      <w:r>
        <w:rPr>
          <w:rFonts w:cs="Times New Roman"/>
          <w:sz w:val="24"/>
        </w:rPr>
        <w:t>12. Рынок выполнения работ по благоустройству городской среды.</w:t>
      </w:r>
    </w:p>
    <w:p>
      <w:pPr>
        <w:pStyle w:val="Normal"/>
        <w:spacing w:lineRule="auto" w:line="240" w:before="0" w:after="0"/>
        <w:ind w:firstLine="709"/>
        <w:rPr>
          <w:rFonts w:cs="Times New Roman"/>
          <w:sz w:val="24"/>
        </w:rPr>
      </w:pPr>
      <w:r>
        <w:rPr>
          <w:rFonts w:cs="Times New Roman"/>
          <w:sz w:val="24"/>
        </w:rPr>
        <w:t>13. Рынок выполнения работ по содержанию и текущему ремонту общего имущества собственников помещений в многоквартирном доме.</w:t>
      </w:r>
    </w:p>
    <w:p>
      <w:pPr>
        <w:pStyle w:val="Normal"/>
        <w:spacing w:lineRule="auto" w:line="240" w:before="0" w:after="0"/>
        <w:ind w:firstLine="709"/>
        <w:rPr>
          <w:rFonts w:cs="Times New Roman"/>
          <w:sz w:val="24"/>
        </w:rPr>
      </w:pPr>
      <w:r>
        <w:rPr>
          <w:rFonts w:cs="Times New Roman"/>
          <w:sz w:val="24"/>
        </w:rPr>
        <w:t>14. Рынок поставки сжиженного газа в баллонах.</w:t>
      </w:r>
    </w:p>
    <w:p>
      <w:pPr>
        <w:pStyle w:val="Normal"/>
        <w:spacing w:lineRule="auto" w:line="240" w:before="0" w:after="0"/>
        <w:ind w:firstLine="709"/>
        <w:rPr>
          <w:rFonts w:cs="Times New Roman"/>
          <w:sz w:val="24"/>
        </w:rPr>
      </w:pPr>
      <w:r>
        <w:rPr>
          <w:rFonts w:cs="Times New Roman"/>
          <w:sz w:val="24"/>
        </w:rPr>
        <w:t>15. Рынок оказания услуг по перевозке пассажиров автомобильным транспортом по муниципальным маршрутам регулярных перевозок.</w:t>
      </w:r>
    </w:p>
    <w:p>
      <w:pPr>
        <w:pStyle w:val="Normal"/>
        <w:spacing w:lineRule="auto" w:line="240" w:before="0" w:after="0"/>
        <w:ind w:firstLine="709"/>
        <w:rPr>
          <w:rFonts w:cs="Times New Roman"/>
          <w:sz w:val="24"/>
        </w:rPr>
      </w:pPr>
      <w:r>
        <w:rPr>
          <w:rFonts w:cs="Times New Roman"/>
          <w:sz w:val="24"/>
        </w:rPr>
        <w:t>16. Рынок оказания услуг по перевозке пассажиров автомобильным транспортом по межмуниципальным маршрутам регулярных перевозок.</w:t>
      </w:r>
    </w:p>
    <w:p>
      <w:pPr>
        <w:pStyle w:val="Normal"/>
        <w:spacing w:lineRule="auto" w:line="240" w:before="0" w:after="0"/>
        <w:ind w:firstLine="709"/>
        <w:rPr>
          <w:rFonts w:cs="Times New Roman"/>
          <w:sz w:val="24"/>
        </w:rPr>
      </w:pPr>
      <w:r>
        <w:rPr>
          <w:rFonts w:cs="Times New Roman"/>
          <w:sz w:val="24"/>
        </w:rPr>
        <w:t>17. Рынок оказания услуг по перевозке пассажиров и багажа легковым такси на территории Краснодарского края.</w:t>
      </w:r>
    </w:p>
    <w:p>
      <w:pPr>
        <w:pStyle w:val="Normal"/>
        <w:spacing w:lineRule="auto" w:line="240" w:before="0" w:after="0"/>
        <w:ind w:firstLine="709"/>
        <w:rPr>
          <w:rFonts w:cs="Times New Roman"/>
          <w:sz w:val="24"/>
        </w:rPr>
      </w:pPr>
      <w:r>
        <w:rPr>
          <w:rFonts w:cs="Times New Roman"/>
          <w:sz w:val="24"/>
        </w:rPr>
        <w:t>18. Рынок услуг связи, в том числе услуг по предоставлению широкополосного доступа к информационно-телекоммуникационной сети «Интернет».</w:t>
      </w:r>
    </w:p>
    <w:p>
      <w:pPr>
        <w:pStyle w:val="Normal"/>
        <w:spacing w:lineRule="auto" w:line="240" w:before="0" w:after="0"/>
        <w:ind w:firstLine="709"/>
        <w:rPr>
          <w:rFonts w:cs="Times New Roman"/>
          <w:sz w:val="24"/>
        </w:rPr>
      </w:pPr>
      <w:r>
        <w:rPr>
          <w:rFonts w:cs="Times New Roman"/>
          <w:sz w:val="24"/>
        </w:rPr>
        <w:t>19. Рынок жилищного строительства (за исключением Московского фонда реновации жилой застройки и индивидуального жилищного строительства).</w:t>
      </w:r>
    </w:p>
    <w:p>
      <w:pPr>
        <w:pStyle w:val="Normal"/>
        <w:spacing w:lineRule="auto" w:line="240" w:before="0" w:after="0"/>
        <w:ind w:firstLine="709"/>
        <w:rPr>
          <w:rFonts w:cs="Times New Roman"/>
          <w:sz w:val="24"/>
        </w:rPr>
      </w:pPr>
      <w:r>
        <w:rPr>
          <w:rFonts w:cs="Times New Roman"/>
          <w:sz w:val="24"/>
        </w:rPr>
        <w:t>20. Рынок строительства объектов капитального строительства, за исключением жилищного и дорожного строительства.</w:t>
      </w:r>
    </w:p>
    <w:p>
      <w:pPr>
        <w:pStyle w:val="Normal"/>
        <w:spacing w:lineRule="auto" w:line="240" w:before="0" w:after="0"/>
        <w:ind w:firstLine="709"/>
        <w:rPr>
          <w:rFonts w:cs="Times New Roman"/>
          <w:sz w:val="24"/>
        </w:rPr>
      </w:pPr>
      <w:r>
        <w:rPr>
          <w:rFonts w:cs="Times New Roman"/>
          <w:sz w:val="24"/>
        </w:rPr>
        <w:t>21. Рынок дорожной деятельности (за исключением проектирования).</w:t>
      </w:r>
    </w:p>
    <w:p>
      <w:pPr>
        <w:pStyle w:val="Normal"/>
        <w:spacing w:lineRule="auto" w:line="240" w:before="0" w:after="0"/>
        <w:ind w:firstLine="709"/>
        <w:rPr>
          <w:rFonts w:cs="Times New Roman"/>
          <w:sz w:val="24"/>
        </w:rPr>
      </w:pPr>
      <w:r>
        <w:rPr>
          <w:rFonts w:cs="Times New Roman"/>
          <w:sz w:val="24"/>
        </w:rPr>
        <w:t>22. Рынок лабораторных исследований для выдачи ветеринарных сопроводительных документов.</w:t>
      </w:r>
    </w:p>
    <w:p>
      <w:pPr>
        <w:pStyle w:val="Normal"/>
        <w:spacing w:lineRule="auto" w:line="240" w:before="0" w:after="0"/>
        <w:ind w:firstLine="709"/>
        <w:rPr>
          <w:rFonts w:cs="Times New Roman"/>
          <w:sz w:val="24"/>
        </w:rPr>
      </w:pPr>
      <w:r>
        <w:rPr>
          <w:rFonts w:cs="Times New Roman"/>
          <w:sz w:val="24"/>
        </w:rPr>
        <w:t>23. Рынок племенного животноводства.</w:t>
      </w:r>
    </w:p>
    <w:p>
      <w:pPr>
        <w:pStyle w:val="Normal"/>
        <w:spacing w:lineRule="auto" w:line="240" w:before="0" w:after="0"/>
        <w:ind w:firstLine="709"/>
        <w:rPr>
          <w:rFonts w:cs="Times New Roman"/>
          <w:sz w:val="24"/>
        </w:rPr>
      </w:pPr>
      <w:r>
        <w:rPr>
          <w:rFonts w:cs="Times New Roman"/>
          <w:sz w:val="24"/>
        </w:rPr>
        <w:t>24. Рынок семеноводства.</w:t>
      </w:r>
    </w:p>
    <w:p>
      <w:pPr>
        <w:pStyle w:val="Normal"/>
        <w:spacing w:lineRule="auto" w:line="240" w:before="0" w:after="0"/>
        <w:ind w:firstLine="709"/>
        <w:rPr>
          <w:rFonts w:cs="Times New Roman"/>
          <w:sz w:val="24"/>
        </w:rPr>
      </w:pPr>
      <w:r>
        <w:rPr>
          <w:rFonts w:cs="Times New Roman"/>
          <w:sz w:val="24"/>
        </w:rPr>
        <w:t>25. Рынок вылова водных биоресурсов.</w:t>
      </w:r>
    </w:p>
    <w:p>
      <w:pPr>
        <w:pStyle w:val="Normal"/>
        <w:spacing w:lineRule="auto" w:line="240" w:before="0" w:after="0"/>
        <w:ind w:firstLine="709"/>
        <w:rPr>
          <w:rFonts w:cs="Times New Roman"/>
          <w:sz w:val="24"/>
        </w:rPr>
      </w:pPr>
      <w:r>
        <w:rPr>
          <w:rFonts w:cs="Times New Roman"/>
          <w:sz w:val="24"/>
        </w:rPr>
        <w:t>26. Рынок переработки водных биоресурсов.</w:t>
      </w:r>
    </w:p>
    <w:p>
      <w:pPr>
        <w:pStyle w:val="Normal"/>
        <w:spacing w:lineRule="auto" w:line="240" w:before="0" w:after="0"/>
        <w:ind w:firstLine="709"/>
        <w:rPr>
          <w:rFonts w:cs="Times New Roman"/>
          <w:sz w:val="24"/>
        </w:rPr>
      </w:pPr>
      <w:r>
        <mc:AlternateContent>
          <mc:Choice Requires="wps">
            <w:drawing>
              <wp:anchor behindDoc="1" distT="0" distB="0" distL="0" distR="0" simplePos="0" locked="0" layoutInCell="1" allowOverlap="1" relativeHeight="33">
                <wp:simplePos x="0" y="0"/>
                <wp:positionH relativeFrom="column">
                  <wp:posOffset>2705100</wp:posOffset>
                </wp:positionH>
                <wp:positionV relativeFrom="paragraph">
                  <wp:posOffset>-676275</wp:posOffset>
                </wp:positionV>
                <wp:extent cx="338455" cy="384810"/>
                <wp:effectExtent l="0" t="0" r="5080" b="0"/>
                <wp:wrapNone/>
                <wp:docPr id="3" name="Надпись 2"/>
                <a:graphic xmlns:a="http://schemas.openxmlformats.org/drawingml/2006/main">
                  <a:graphicData uri="http://schemas.microsoft.com/office/word/2010/wordprocessingShape">
                    <wps:wsp>
                      <wps:cNvSpPr/>
                      <wps:spPr>
                        <a:xfrm>
                          <a:off x="0" y="0"/>
                          <a:ext cx="337680" cy="384120"/>
                        </a:xfrm>
                        <a:prstGeom prst="rect">
                          <a:avLst/>
                        </a:prstGeom>
                        <a:solidFill>
                          <a:srgbClr val="ffffff"/>
                        </a:solidFill>
                        <a:ln w="9360">
                          <a:noFill/>
                        </a:ln>
                      </wps:spPr>
                      <wps:style>
                        <a:lnRef idx="0"/>
                        <a:fillRef idx="0"/>
                        <a:effectRef idx="0"/>
                        <a:fontRef idx="minor"/>
                      </wps:style>
                      <wps:txbx>
                        <w:txbxContent>
                          <w:p>
                            <w:pPr>
                              <w:pStyle w:val="Style37"/>
                              <w:rPr/>
                            </w:pPr>
                            <w:r>
                              <w:rPr/>
                              <w:t>2</w:t>
                            </w:r>
                          </w:p>
                          <w:p>
                            <w:pPr>
                              <w:pStyle w:val="Style37"/>
                              <w:spacing w:before="0" w:after="200"/>
                              <w:rPr/>
                            </w:pPr>
                            <w:r>
                              <w:rPr/>
                            </w:r>
                          </w:p>
                        </w:txbxContent>
                      </wps:txbx>
                      <wps:bodyPr>
                        <a:noAutofit/>
                      </wps:bodyPr>
                    </wps:wsp>
                  </a:graphicData>
                </a:graphic>
              </wp:anchor>
            </w:drawing>
          </mc:Choice>
          <mc:Fallback>
            <w:pict>
              <v:rect id="shape_0" ID="Надпись 2" fillcolor="white" stroked="f" style="position:absolute;margin-left:213pt;margin-top:-53.25pt;width:26.55pt;height:30.2pt">
                <w10:wrap type="square"/>
                <v:fill o:detectmouseclick="t" type="solid" color2="black"/>
                <v:stroke color="#3465a4" weight="9360" joinstyle="miter" endcap="flat"/>
                <v:textbox>
                  <w:txbxContent>
                    <w:p>
                      <w:pPr>
                        <w:pStyle w:val="Style37"/>
                        <w:rPr/>
                      </w:pPr>
                      <w:r>
                        <w:rPr/>
                        <w:t>2</w:t>
                      </w:r>
                    </w:p>
                    <w:p>
                      <w:pPr>
                        <w:pStyle w:val="Style37"/>
                        <w:spacing w:before="0" w:after="200"/>
                        <w:rPr/>
                      </w:pPr>
                      <w:r>
                        <w:rPr/>
                      </w:r>
                    </w:p>
                  </w:txbxContent>
                </v:textbox>
              </v:rect>
            </w:pict>
          </mc:Fallback>
        </mc:AlternateContent>
      </w:r>
      <w:r>
        <w:rPr>
          <w:rFonts w:cs="Times New Roman"/>
          <w:sz w:val="24"/>
        </w:rPr>
        <w:t>27. Рынок товарной аквакультуры.</w:t>
      </w:r>
    </w:p>
    <w:p>
      <w:pPr>
        <w:pStyle w:val="Normal"/>
        <w:spacing w:lineRule="auto" w:line="240" w:before="0" w:after="0"/>
        <w:ind w:firstLine="709"/>
        <w:rPr>
          <w:rFonts w:cs="Times New Roman"/>
          <w:sz w:val="24"/>
        </w:rPr>
      </w:pPr>
      <w:r>
        <w:rPr>
          <w:rFonts w:cs="Times New Roman"/>
          <w:sz w:val="24"/>
        </w:rPr>
        <w:t>28. Рынок добычи общераспространенных полезных ископаемых на участках недр местного значения.</w:t>
      </w:r>
    </w:p>
    <w:p>
      <w:pPr>
        <w:pStyle w:val="Normal"/>
        <w:spacing w:lineRule="auto" w:line="240" w:before="0" w:after="0"/>
        <w:ind w:firstLine="709"/>
        <w:rPr>
          <w:rFonts w:cs="Times New Roman"/>
          <w:sz w:val="24"/>
        </w:rPr>
      </w:pPr>
      <w:r>
        <w:rPr>
          <w:rFonts w:cs="Times New Roman"/>
          <w:sz w:val="24"/>
        </w:rPr>
        <w:t>29. Рынок легкой промышленности.</w:t>
      </w:r>
    </w:p>
    <w:p>
      <w:pPr>
        <w:pStyle w:val="Normal"/>
        <w:spacing w:lineRule="auto" w:line="240" w:before="0" w:after="0"/>
        <w:ind w:firstLine="709"/>
        <w:rPr>
          <w:rFonts w:cs="Times New Roman"/>
          <w:sz w:val="24"/>
        </w:rPr>
      </w:pPr>
      <w:r>
        <w:rPr>
          <w:rFonts w:cs="Times New Roman"/>
          <w:sz w:val="24"/>
        </w:rPr>
        <w:t>30. Рынок обработки древесины и производства изделий из дерева.</w:t>
      </w:r>
    </w:p>
    <w:p>
      <w:pPr>
        <w:pStyle w:val="Normal"/>
        <w:spacing w:lineRule="auto" w:line="240" w:before="0" w:after="0"/>
        <w:ind w:firstLine="709"/>
        <w:rPr>
          <w:rFonts w:cs="Times New Roman"/>
          <w:sz w:val="24"/>
        </w:rPr>
      </w:pPr>
      <w:r>
        <w:rPr>
          <w:rFonts w:cs="Times New Roman"/>
          <w:sz w:val="24"/>
        </w:rPr>
        <w:t>31. Рынок производства кирпича.</w:t>
      </w:r>
    </w:p>
    <w:p>
      <w:pPr>
        <w:pStyle w:val="Normal"/>
        <w:spacing w:lineRule="auto" w:line="240" w:before="0" w:after="0"/>
        <w:ind w:firstLine="709"/>
        <w:rPr>
          <w:rFonts w:cs="Times New Roman"/>
          <w:sz w:val="24"/>
        </w:rPr>
      </w:pPr>
      <w:r>
        <w:rPr>
          <w:rFonts w:cs="Times New Roman"/>
          <w:sz w:val="24"/>
        </w:rPr>
        <w:t>32. Рынок производства бетона, включая инновационные строительные материалы.</w:t>
      </w:r>
    </w:p>
    <w:p>
      <w:pPr>
        <w:pStyle w:val="Normal"/>
        <w:spacing w:lineRule="auto" w:line="240" w:before="0" w:after="0"/>
        <w:ind w:firstLine="709"/>
        <w:rPr>
          <w:rFonts w:cs="Times New Roman"/>
          <w:sz w:val="24"/>
        </w:rPr>
      </w:pPr>
      <w:r>
        <w:rPr>
          <w:rFonts w:cs="Times New Roman"/>
          <w:sz w:val="24"/>
        </w:rPr>
        <w:t>33. Сфера наружной рекламы.</w:t>
      </w:r>
    </w:p>
    <w:p>
      <w:pPr>
        <w:pStyle w:val="Normal"/>
        <w:spacing w:lineRule="auto" w:line="240" w:before="0" w:after="0"/>
        <w:ind w:firstLine="709"/>
        <w:rPr>
          <w:rFonts w:cs="Times New Roman"/>
          <w:sz w:val="24"/>
        </w:rPr>
      </w:pPr>
      <w:r>
        <w:rPr>
          <w:rFonts w:cs="Times New Roman"/>
          <w:sz w:val="24"/>
        </w:rPr>
        <w:t>34. Рынок реализации сельскохозяйственной продукции.</w:t>
      </w:r>
    </w:p>
    <w:p>
      <w:pPr>
        <w:pStyle w:val="Normal"/>
        <w:spacing w:lineRule="auto" w:line="240" w:before="0" w:after="0"/>
        <w:ind w:firstLine="709"/>
        <w:rPr>
          <w:rFonts w:cs="Times New Roman"/>
          <w:sz w:val="24"/>
        </w:rPr>
      </w:pPr>
      <w:r>
        <w:rPr>
          <w:rFonts w:cs="Times New Roman"/>
          <w:sz w:val="24"/>
        </w:rPr>
        <w:t>35. Торговля.</w:t>
      </w:r>
    </w:p>
    <w:p>
      <w:pPr>
        <w:pStyle w:val="Normal"/>
        <w:spacing w:lineRule="auto" w:line="240" w:before="0" w:after="0"/>
        <w:ind w:firstLine="709"/>
        <w:rPr>
          <w:rFonts w:cs="Times New Roman"/>
          <w:sz w:val="24"/>
        </w:rPr>
      </w:pPr>
      <w:r>
        <w:rPr>
          <w:rFonts w:cs="Times New Roman"/>
          <w:sz w:val="24"/>
        </w:rPr>
        <w:t>36. Рынок санаторно-курортных и туристских услуг.</w:t>
      </w:r>
    </w:p>
    <w:p>
      <w:pPr>
        <w:pStyle w:val="Normal"/>
        <w:spacing w:lineRule="auto" w:line="240" w:before="0" w:after="0"/>
        <w:ind w:firstLine="709"/>
        <w:rPr>
          <w:rFonts w:cs="Times New Roman"/>
          <w:sz w:val="24"/>
        </w:rPr>
      </w:pPr>
      <w:r>
        <w:rPr>
          <w:rFonts w:cs="Times New Roman"/>
          <w:sz w:val="24"/>
        </w:rPr>
        <w:t>37. Рынок композитных материалов.</w:t>
      </w:r>
    </w:p>
    <w:p>
      <w:pPr>
        <w:pStyle w:val="Normal"/>
        <w:spacing w:lineRule="auto" w:line="240" w:before="0" w:after="0"/>
        <w:ind w:firstLine="709"/>
        <w:rPr>
          <w:rFonts w:cs="Times New Roman"/>
          <w:sz w:val="24"/>
        </w:rPr>
      </w:pPr>
      <w:r>
        <w:rPr>
          <w:rFonts w:cs="Times New Roman"/>
          <w:sz w:val="24"/>
        </w:rPr>
        <w:t>38. Рынок продукции машиностроения.</w:t>
      </w:r>
    </w:p>
    <w:p>
      <w:pPr>
        <w:pStyle w:val="Normal"/>
        <w:spacing w:lineRule="auto" w:line="240" w:before="0" w:after="0"/>
        <w:ind w:firstLine="709"/>
        <w:rPr>
          <w:rFonts w:cs="Times New Roman"/>
          <w:sz w:val="24"/>
        </w:rPr>
      </w:pPr>
      <w:r>
        <w:rPr>
          <w:rFonts w:cs="Times New Roman"/>
          <w:sz w:val="24"/>
        </w:rPr>
        <w:t>39. Рынок водоснабжения и водоотведения.</w:t>
      </w:r>
    </w:p>
    <w:p>
      <w:pPr>
        <w:pStyle w:val="Normal"/>
        <w:spacing w:lineRule="auto" w:line="240" w:before="0" w:after="0"/>
        <w:ind w:firstLine="709"/>
        <w:rPr>
          <w:rFonts w:cs="Times New Roman"/>
          <w:sz w:val="24"/>
        </w:rPr>
      </w:pPr>
      <w:r>
        <w:rPr>
          <w:rFonts w:cs="Times New Roman"/>
          <w:sz w:val="24"/>
        </w:rPr>
        <w:t>40. Электроэнергетика.</w:t>
      </w:r>
    </w:p>
    <w:p>
      <w:pPr>
        <w:pStyle w:val="Normal"/>
        <w:spacing w:lineRule="auto" w:line="240" w:before="0" w:after="0"/>
        <w:ind w:firstLine="709"/>
        <w:rPr>
          <w:rFonts w:cs="Times New Roman"/>
          <w:sz w:val="24"/>
        </w:rPr>
      </w:pPr>
      <w:r>
        <w:rPr>
          <w:rFonts w:cs="Times New Roman"/>
          <w:sz w:val="24"/>
        </w:rPr>
        <w:t xml:space="preserve">41. Рынок виноградарства и виноделия. </w:t>
      </w:r>
    </w:p>
    <w:p>
      <w:pPr>
        <w:sectPr>
          <w:headerReference w:type="default" r:id="rId2"/>
          <w:headerReference w:type="first" r:id="rId3"/>
          <w:type w:val="nextPage"/>
          <w:pgSz w:w="11906" w:h="16838"/>
          <w:pgMar w:left="1701" w:right="510" w:header="709" w:top="1134" w:footer="0" w:bottom="1134" w:gutter="0"/>
          <w:pgNumType w:start="1" w:fmt="decimal"/>
          <w:formProt w:val="false"/>
          <w:titlePg/>
          <w:textDirection w:val="lrTb"/>
          <w:docGrid w:type="default" w:linePitch="381" w:charSpace="0"/>
        </w:sectPr>
        <w:pStyle w:val="Normal"/>
        <w:spacing w:lineRule="auto" w:line="240" w:before="0" w:after="0"/>
        <w:ind w:firstLine="709"/>
        <w:rPr>
          <w:rFonts w:cs="Times New Roman"/>
          <w:sz w:val="24"/>
        </w:rPr>
      </w:pPr>
      <w:r>
        <w:rPr>
          <w:rFonts w:cs="Times New Roman"/>
          <w:sz w:val="24"/>
        </w:rPr>
        <w:t xml:space="preserve">42. Рынок спортивных услуг. </w:t>
      </w:r>
    </w:p>
    <w:p>
      <w:pPr>
        <w:pStyle w:val="Normal"/>
        <w:spacing w:lineRule="auto" w:line="240" w:before="0" w:after="0"/>
        <w:ind w:right="-31" w:hanging="0"/>
        <w:jc w:val="center"/>
        <w:rPr>
          <w:rFonts w:eastAsia="Times New Roman" w:cs="Times New Roman"/>
          <w:sz w:val="24"/>
          <w:szCs w:val="24"/>
          <w:lang w:eastAsia="ru-RU"/>
        </w:rPr>
      </w:pPr>
      <w:r>
        <w:rPr>
          <w:rFonts w:eastAsia="Times New Roman" w:cs="Times New Roman"/>
          <w:sz w:val="24"/>
          <w:szCs w:val="24"/>
          <w:lang w:eastAsia="ru-RU"/>
        </w:rPr>
        <w:t xml:space="preserve">Раздел 2. Мероприятия, обеспечивающие достижение ключевых показателей развития конкуренции на товарных рынках </w:t>
      </w:r>
    </w:p>
    <w:p>
      <w:pPr>
        <w:pStyle w:val="Normal"/>
        <w:spacing w:lineRule="auto" w:line="240" w:before="0" w:after="0"/>
        <w:ind w:right="-31" w:hanging="0"/>
        <w:jc w:val="center"/>
        <w:rPr>
          <w:rFonts w:eastAsia="Times New Roman" w:cs="Times New Roman"/>
          <w:b/>
          <w:b/>
          <w:sz w:val="16"/>
          <w:szCs w:val="16"/>
          <w:lang w:eastAsia="ru-RU"/>
        </w:rPr>
      </w:pPr>
      <w:r>
        <w:rPr>
          <w:rFonts w:eastAsia="Times New Roman" w:cs="Times New Roman"/>
          <w:b/>
          <w:sz w:val="16"/>
          <w:szCs w:val="16"/>
          <w:lang w:eastAsia="ru-RU"/>
        </w:rPr>
      </w:r>
    </w:p>
    <w:p>
      <w:pPr>
        <w:pStyle w:val="Normal"/>
        <w:spacing w:lineRule="auto" w:line="240" w:before="0" w:after="0"/>
        <w:ind w:right="-31" w:hanging="0"/>
        <w:jc w:val="center"/>
        <w:rPr>
          <w:rFonts w:eastAsia="Times New Roman" w:cs="Times New Roman"/>
          <w:b/>
          <w:b/>
          <w:sz w:val="16"/>
          <w:szCs w:val="16"/>
          <w:lang w:eastAsia="ru-RU"/>
        </w:rPr>
      </w:pPr>
      <w:r>
        <w:rPr>
          <w:rFonts w:eastAsia="Times New Roman" w:cs="Times New Roman"/>
          <w:b/>
          <w:sz w:val="16"/>
          <w:szCs w:val="16"/>
          <w:lang w:eastAsia="ru-RU"/>
        </w:rPr>
      </w:r>
    </w:p>
    <w:tbl>
      <w:tblPr>
        <w:tblW w:w="14596" w:type="dxa"/>
        <w:jc w:val="left"/>
        <w:tblInd w:w="0" w:type="dxa"/>
        <w:tblCellMar>
          <w:top w:w="0" w:type="dxa"/>
          <w:left w:w="108" w:type="dxa"/>
          <w:bottom w:w="0" w:type="dxa"/>
          <w:right w:w="108" w:type="dxa"/>
        </w:tblCellMar>
        <w:tblLook w:val="04a0" w:noVBand="1" w:noHBand="0" w:lastColumn="0" w:firstColumn="1" w:lastRow="0" w:firstRow="1"/>
      </w:tblPr>
      <w:tblGrid>
        <w:gridCol w:w="703"/>
        <w:gridCol w:w="2551"/>
        <w:gridCol w:w="1701"/>
        <w:gridCol w:w="1274"/>
        <w:gridCol w:w="1842"/>
        <w:gridCol w:w="1133"/>
        <w:gridCol w:w="851"/>
        <w:gridCol w:w="849"/>
        <w:gridCol w:w="851"/>
        <w:gridCol w:w="850"/>
        <w:gridCol w:w="1989"/>
      </w:tblGrid>
      <w:tr>
        <w:trPr>
          <w:tblHeader w:val="true"/>
        </w:trPr>
        <w:tc>
          <w:tcPr>
            <w:tcW w:w="703"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п/п</w:t>
            </w:r>
          </w:p>
        </w:tc>
        <w:tc>
          <w:tcPr>
            <w:tcW w:w="2551"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Наименование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мероприятия </w:t>
            </w:r>
          </w:p>
        </w:tc>
        <w:tc>
          <w:tcPr>
            <w:tcW w:w="1701"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Ожидаемый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результат  </w:t>
            </w:r>
          </w:p>
        </w:tc>
        <w:tc>
          <w:tcPr>
            <w:tcW w:w="1274"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Срок исполнения мероприятия</w:t>
            </w:r>
          </w:p>
        </w:tc>
        <w:tc>
          <w:tcPr>
            <w:tcW w:w="1842"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Наименование показателя, единицы измерения</w:t>
            </w:r>
          </w:p>
        </w:tc>
        <w:tc>
          <w:tcPr>
            <w:tcW w:w="1133"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ind w:left="-59" w:right="-31" w:hanging="0"/>
              <w:jc w:val="center"/>
              <w:rPr>
                <w:rFonts w:eastAsia="Times New Roman" w:cs="Times New Roman"/>
                <w:sz w:val="22"/>
                <w:lang w:eastAsia="ru-RU"/>
              </w:rPr>
            </w:pPr>
            <w:r>
              <w:rPr>
                <w:rFonts w:eastAsia="Times New Roman" w:cs="Times New Roman"/>
                <w:sz w:val="22"/>
                <w:lang w:eastAsia="ru-RU"/>
              </w:rPr>
              <w:t>Исходные данные (оценка 2021 год)</w:t>
            </w:r>
          </w:p>
        </w:tc>
        <w:tc>
          <w:tcPr>
            <w:tcW w:w="3401"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Целевые значения показателя </w:t>
            </w:r>
          </w:p>
        </w:tc>
        <w:tc>
          <w:tcPr>
            <w:tcW w:w="1989"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Ответственные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исполнители,</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 xml:space="preserve">соисполнители </w:t>
            </w:r>
          </w:p>
        </w:tc>
      </w:tr>
      <w:tr>
        <w:trPr>
          <w:tblHeader w:val="true"/>
        </w:trPr>
        <w:tc>
          <w:tcPr>
            <w:tcW w:w="703"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84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133"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ind w:left="-65" w:right="-31" w:hanging="0"/>
              <w:jc w:val="center"/>
              <w:rPr>
                <w:rFonts w:eastAsia="Times New Roman" w:cs="Times New Roman"/>
                <w:sz w:val="22"/>
                <w:lang w:eastAsia="ru-RU"/>
              </w:rPr>
            </w:pPr>
            <w:r>
              <w:rPr>
                <w:rFonts w:eastAsia="Times New Roman" w:cs="Times New Roman"/>
                <w:sz w:val="22"/>
                <w:lang w:eastAsia="ru-RU"/>
              </w:rPr>
            </w:r>
          </w:p>
        </w:tc>
        <w:tc>
          <w:tcPr>
            <w:tcW w:w="851" w:type="dxa"/>
            <w:tcBorders>
              <w:top w:val="single" w:sz="4" w:space="0" w:color="000000"/>
              <w:left w:val="single" w:sz="4" w:space="0" w:color="000000"/>
              <w:right w:val="single" w:sz="4" w:space="0" w:color="000000"/>
            </w:tcBorders>
            <w:shd w:fill="auto" w:val="clear"/>
          </w:tcPr>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t>31.12.</w:t>
            </w:r>
          </w:p>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t>2022</w:t>
            </w:r>
          </w:p>
        </w:tc>
        <w:tc>
          <w:tcPr>
            <w:tcW w:w="849" w:type="dxa"/>
            <w:tcBorders>
              <w:top w:val="single" w:sz="4" w:space="0" w:color="000000"/>
              <w:left w:val="single" w:sz="4" w:space="0" w:color="000000"/>
              <w:right w:val="single" w:sz="4" w:space="0" w:color="000000"/>
            </w:tcBorders>
            <w:shd w:fill="auto" w:val="clear"/>
          </w:tcPr>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t>31.12.</w:t>
            </w:r>
          </w:p>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t>2023</w:t>
            </w:r>
          </w:p>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r>
          </w:p>
        </w:tc>
        <w:tc>
          <w:tcPr>
            <w:tcW w:w="851" w:type="dxa"/>
            <w:tcBorders>
              <w:top w:val="single" w:sz="4" w:space="0" w:color="000000"/>
              <w:left w:val="single" w:sz="4" w:space="0" w:color="000000"/>
              <w:right w:val="single" w:sz="4" w:space="0" w:color="000000"/>
            </w:tcBorders>
            <w:shd w:fill="auto" w:val="clear"/>
          </w:tcPr>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t>31.12.</w:t>
            </w:r>
          </w:p>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t>2024</w:t>
            </w:r>
          </w:p>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r>
          </w:p>
        </w:tc>
        <w:tc>
          <w:tcPr>
            <w:tcW w:w="850" w:type="dxa"/>
            <w:tcBorders>
              <w:top w:val="single" w:sz="4" w:space="0" w:color="000000"/>
              <w:left w:val="single" w:sz="4" w:space="0" w:color="000000"/>
              <w:right w:val="single" w:sz="4" w:space="0" w:color="000000"/>
            </w:tcBorders>
            <w:shd w:fill="auto" w:val="clear"/>
          </w:tcPr>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t>31.12.</w:t>
            </w:r>
          </w:p>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t>2025</w:t>
            </w:r>
          </w:p>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r>
          </w:p>
        </w:tc>
        <w:tc>
          <w:tcPr>
            <w:tcW w:w="1989"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bl>
    <w:p>
      <w:pPr>
        <w:pStyle w:val="Normal"/>
        <w:spacing w:lineRule="auto" w:line="240" w:before="0" w:after="0"/>
        <w:jc w:val="left"/>
        <w:rPr>
          <w:rFonts w:eastAsia="Times New Roman" w:cs="Times New Roman"/>
          <w:sz w:val="2"/>
          <w:szCs w:val="2"/>
          <w:lang w:eastAsia="ru-RU"/>
        </w:rPr>
      </w:pPr>
      <w:r>
        <w:rPr>
          <w:rFonts w:eastAsia="Times New Roman" w:cs="Times New Roman"/>
          <w:sz w:val="2"/>
          <w:szCs w:val="2"/>
          <w:lang w:eastAsia="ru-RU"/>
        </w:rPr>
      </w:r>
    </w:p>
    <w:tbl>
      <w:tblPr>
        <w:tblW w:w="14596" w:type="dxa"/>
        <w:jc w:val="left"/>
        <w:tblInd w:w="0" w:type="dxa"/>
        <w:tblCellMar>
          <w:top w:w="0" w:type="dxa"/>
          <w:left w:w="108" w:type="dxa"/>
          <w:bottom w:w="0" w:type="dxa"/>
          <w:right w:w="108" w:type="dxa"/>
        </w:tblCellMar>
        <w:tblLook w:val="04a0" w:noVBand="1" w:noHBand="0" w:lastColumn="0" w:firstColumn="1" w:lastRow="0" w:firstRow="1"/>
      </w:tblPr>
      <w:tblGrid>
        <w:gridCol w:w="703"/>
        <w:gridCol w:w="2551"/>
        <w:gridCol w:w="1701"/>
        <w:gridCol w:w="1274"/>
        <w:gridCol w:w="1701"/>
        <w:gridCol w:w="1275"/>
        <w:gridCol w:w="851"/>
        <w:gridCol w:w="850"/>
        <w:gridCol w:w="851"/>
        <w:gridCol w:w="849"/>
        <w:gridCol w:w="1988"/>
      </w:tblGrid>
      <w:tr>
        <w:trPr>
          <w:tblHeader w:val="true"/>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3</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4</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7</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8</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9</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11</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 xml:space="preserve">Рынок дошкольного образования </w:t>
            </w:r>
          </w:p>
        </w:tc>
      </w:tr>
      <w:tr>
        <w:trPr>
          <w:trHeight w:val="2773"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В Краснодарском крае обеспечен доступ частных дошкольных организаций к государственному финансированию наравне с муниципальными </w:t>
              <w:br/>
              <w:t>организациями. На начало 2021 года в Краснодарском крае число частных дошкольных образовательных организаций составило 55 единиц с численностью воспитанников – 2 948 человека.</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Объем средств, направленный на финансирование детских садов частной формы собственности в 2020 г. составил 298 514,78 тыс. рублей, что </w:t>
              <w:br/>
              <w:t xml:space="preserve">составило 1,68 % от общего объема средств краевого бюджета.  </w:t>
            </w:r>
          </w:p>
          <w:p>
            <w:pPr>
              <w:pStyle w:val="Normal"/>
              <w:spacing w:lineRule="auto" w:line="240" w:before="0" w:after="0"/>
              <w:ind w:firstLine="709"/>
              <w:contextualSpacing/>
              <w:rPr>
                <w:rFonts w:eastAsia="Times New Roman" w:cs="Times New Roman"/>
                <w:sz w:val="22"/>
                <w:lang w:eastAsia="ru-RU"/>
              </w:rPr>
            </w:pPr>
            <w:r>
              <w:rPr>
                <w:rFonts w:eastAsia="Times New Roman" w:cs="Times New Roman"/>
                <w:sz w:val="22"/>
                <w:lang w:eastAsia="ru-RU"/>
              </w:rPr>
              <w:t xml:space="preserve">Конкурентная среда характеризуется существенным доминированием муниципальных образовательных организаций над негосударственными (частными) организациями, а также наибольшей концентрацией дошкольных организаций в крупных населенных пунктах, в том числе городах </w:t>
              <w:br/>
              <w:t>Краснодарского края. В крае ведется активная работа по созданию и вводу новых мест в муниципальных образовательных организациях, реализующих программы дошкольного образования, в связи с этим потребность населения в услугах частного сектора растет незначительно.</w:t>
            </w:r>
          </w:p>
          <w:p>
            <w:pPr>
              <w:pStyle w:val="Normal"/>
              <w:spacing w:lineRule="auto" w:line="240" w:before="0" w:after="0"/>
              <w:ind w:firstLine="709"/>
              <w:contextualSpacing/>
              <w:rPr>
                <w:rFonts w:eastAsia="Times New Roman" w:cs="Times New Roman"/>
                <w:sz w:val="22"/>
                <w:lang w:eastAsia="ru-RU"/>
              </w:rPr>
            </w:pPr>
            <w:r>
              <w:rPr>
                <w:rFonts w:eastAsia="Times New Roman" w:cs="Times New Roman"/>
                <w:sz w:val="22"/>
                <w:lang w:eastAsia="ru-RU"/>
              </w:rPr>
              <w:t>Также немаловажным фактором является высокая стоимость оплаты услуг дошкольного образования, а также по присмотру и уходу за детьми, взимаемой частными организациями, что не позволяет гражданам пользоваться предоставляемыми услугами в полном объеме. В настоящее время большую популярность приобретают частные группы по присмотру и уходу за детьми, которым не требуется лицензия на образовательную деятельность.</w:t>
            </w:r>
          </w:p>
        </w:tc>
      </w:tr>
      <w:tr>
        <w:trPr>
          <w:trHeight w:val="1852"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Реализация мер, направленных на финансовое обеспечение получения дошкольного образования в частных дошкольных образовательных организациях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увеличение числа получателей бесплатного дошкольного образования в частных образовательных организациях;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обеспечение равных условий деятельности организаций государственной и частной форм собственности на рынке услуг дошкольного образования;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разработка мер поддержки частных образовательных организаций, реализующих образовательную программу дошкольного образования и (или) осуществляющих присмотр и уход за детьми</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доля обучающихся дошкольного возраста в частных образовательных организациях,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реализующих основные общеобразовательные программы – образовательные программы дошкольного образования, процентов </w:t>
            </w:r>
          </w:p>
        </w:tc>
        <w:tc>
          <w:tcPr>
            <w:tcW w:w="12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1,31</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themeFill="background1"/>
              <w:spacing w:lineRule="auto" w:line="240" w:before="0" w:after="0"/>
              <w:jc w:val="center"/>
              <w:rPr>
                <w:rFonts w:eastAsia="Times New Roman" w:cs="Times New Roman"/>
                <w:sz w:val="22"/>
                <w:lang w:eastAsia="ru-RU"/>
              </w:rPr>
            </w:pPr>
            <w:r>
              <w:rPr>
                <w:rFonts w:eastAsia="Times New Roman" w:cs="Times New Roman"/>
                <w:sz w:val="22"/>
                <w:lang w:eastAsia="ru-RU"/>
              </w:rPr>
              <w:t>1,31</w:t>
            </w:r>
          </w:p>
          <w:p>
            <w:pPr>
              <w:pStyle w:val="Normal"/>
              <w:shd w:val="clear" w:color="auto" w:fill="FFFFFF" w:themeFill="background1"/>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1,4</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1,5</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1,6</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Разработка мероприятий по созданию новых мест в негосударственных организациях, предоставляющих услуги дошкольного образования, а также мест в группах кратковременного пребывания детей</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themeFill="background1"/>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 и порядку предоставления субсидий</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themeFill="background1"/>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1.4</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highlight w:val="cyan"/>
                <w:lang w:eastAsia="ru-RU"/>
              </w:rPr>
            </w:pPr>
            <w:r>
              <w:rPr>
                <w:rFonts w:eastAsia="Times New Roman" w:cs="Times New Roman"/>
                <w:sz w:val="22"/>
                <w:lang w:eastAsia="ru-RU"/>
              </w:rPr>
              <w:t>Предоставление налоговых льгот негосударственным организациям, реализующим программы дошкольного образования</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themeFill="background1"/>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1.5</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Развитие сети частных организаций и индивидуальных предпринимателей, осуществляющих образовательную деятельность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увеличение количества частных организаций и индивидуальных предпринимателей, осуществляющих образовательную деятельность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2022–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количество организаций частной формы собственности, индивидуальных предпринимателей, реализующих основные общеобразовательные программы – образовательные программы дошкольного образования, единиц</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51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51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52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53</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54</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297" w:hRule="atLeast"/>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Рынок общего образования</w:t>
            </w:r>
          </w:p>
        </w:tc>
      </w:tr>
      <w:tr>
        <w:trPr>
          <w:trHeight w:val="1704"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На 1 января 2021 г. число частных образовательных организаций, оказывающих услуги по предоставлению общего образования, составило </w:t>
              <w:br/>
              <w:t>24 организации с численностью обучающихся – 5 664 человека. По состоянию на 1 сентября 2021 года – численность обучающихся составила 6 411 человек. Рынок общего образования характеризуется невысоким уровнем развития конкуренции и доминированием муниципальных образовательных учреждений. Развитие негосударственной сети образовательных организаций сдерживается высоким размером родительской платы.</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В Краснодарском крае осуществляется финансовое обеспечение получения гражданами начального общего, основного общего, среднего общего образования в частных общеобразовательных организациях, имеющих государственную аккредитацию, посредством выделения субвенции местным бюджетам в размерах, необходимых для реализации основных общеобразовательных программ.</w:t>
            </w:r>
          </w:p>
        </w:tc>
      </w:tr>
      <w:tr>
        <w:trPr>
          <w:trHeight w:val="1572"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Реализация мер, направленных на финансовое обеспечение получения общего образования в частных общеобразовательных организациях</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увеличение числа получателей общего образования в частных образовательных организациях;</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равных условий деятельности организаций государственной и частной форм собственности на рынке услуг общего образования;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разработка мер поддержки частных образовательных организаций, реализующих образовательную программу общего образования </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процентов</w:t>
            </w:r>
          </w:p>
        </w:tc>
        <w:tc>
          <w:tcPr>
            <w:tcW w:w="12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0,85</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0,85</w:t>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0,85</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0,9</w:t>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p>
            <w:pPr>
              <w:pStyle w:val="Normal"/>
              <w:rPr>
                <w:rFonts w:eastAsia="Times New Roman" w:cs="Times New Roman"/>
                <w:sz w:val="22"/>
                <w:lang w:eastAsia="ru-RU"/>
              </w:rPr>
            </w:pPr>
            <w:r>
              <w:rPr>
                <w:rFonts w:eastAsia="Times New Roman" w:cs="Times New Roman"/>
                <w:sz w:val="22"/>
                <w:lang w:eastAsia="ru-RU"/>
              </w:rPr>
            </w:r>
          </w:p>
          <w:p>
            <w:pPr>
              <w:pStyle w:val="Normal"/>
              <w:spacing w:before="0" w:after="200"/>
              <w:rPr>
                <w:rFonts w:eastAsia="Times New Roman" w:cs="Times New Roman"/>
                <w:sz w:val="22"/>
                <w:lang w:eastAsia="ru-RU"/>
              </w:rPr>
            </w:pPr>
            <w:r>
              <w:rPr>
                <w:rFonts w:eastAsia="Times New Roman" w:cs="Times New Roman"/>
                <w:sz w:val="22"/>
                <w:lang w:eastAsia="ru-RU"/>
              </w:rPr>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образования, науки                 и молодежной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политики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органы местного </w:t>
              <w:br/>
              <w:t xml:space="preserve">самоуправления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муниципальных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образований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Краснодарского края (по согласованию)</w:t>
            </w:r>
          </w:p>
        </w:tc>
      </w:tr>
      <w:tr>
        <w:trPr>
          <w:trHeight w:val="2834"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Разработка мероприятий по созданию новых мест в негосударственных организациях, предоставляющих услуги общего образования</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rHeight w:val="2548"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 и порядку предоставления субсидий</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rHeight w:val="1549"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2.4</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Предоставление налоговых льгот негосударственным организациям, реализующим программы общего образования</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2.5</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Развитие сети частных организаций и индивидуальных предпринимателей, осуществляющих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увеличение количества частных организаций и индивидуальных предпринимателей, осуществляющих образовательную деятельность</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количество организаций частной формы собственности, реализующих основные общеобразовательные программы – образовательные программы начального общего, основного общего, среднего общего образования,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24</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24</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25</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26</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 xml:space="preserve">министерство образования, науки                 и молодежной </w:t>
            </w:r>
          </w:p>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 xml:space="preserve">политики Краснодарского края, </w:t>
              <w:br/>
              <w:t xml:space="preserve">органы местного самоуправления </w:t>
              <w:br/>
              <w:t xml:space="preserve">муниципальных </w:t>
              <w:br/>
              <w:t xml:space="preserve">образований </w:t>
              <w:br/>
              <w:t>Краснодарского края (по согласованию)</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 xml:space="preserve">Рынок среднего профессионального образования </w:t>
            </w:r>
          </w:p>
        </w:tc>
      </w:tr>
      <w:tr>
        <w:trPr>
          <w:trHeight w:val="1275"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eastAsia="Calibri" w:cs="Times New Roman"/>
                <w:sz w:val="22"/>
              </w:rPr>
            </w:pPr>
            <w:r>
              <w:rPr>
                <w:rFonts w:eastAsia="Calibri" w:cs="Times New Roman"/>
                <w:sz w:val="22"/>
              </w:rPr>
              <w:t xml:space="preserve">В Краснодарском крае образовательную деятельность ведут 109 организаций: 67 колледжей и техникумов, подведомственных министерству </w:t>
              <w:br/>
              <w:t xml:space="preserve">образования, науки и молодежной политики Краснодарского края, 10 – министерству здравоохранения Краснодарского края, 6 – министерству культуры Краснодарского края, 26 частных образовательных организаций, реализующих программы среднего профессионального образования (далее – ЧПОУ). </w:t>
              <w:br/>
              <w:t xml:space="preserve">В соответствии с действующим законодательством ЧПОУ, имеющие государственную аккредитацию, по результатам публичного конкурса на установление контрольных цифр приема имеют возможность получать субсидию из средств краевого бюджета на оказание образовательных услуг по данному виду программ. В 2021 году это 4 организации. </w:t>
            </w:r>
          </w:p>
          <w:p>
            <w:pPr>
              <w:pStyle w:val="Normal"/>
              <w:spacing w:lineRule="auto" w:line="240" w:before="0" w:after="0"/>
              <w:ind w:firstLine="709"/>
              <w:contextualSpacing/>
              <w:rPr>
                <w:rFonts w:eastAsia="Times New Roman" w:cs="Times New Roman"/>
                <w:sz w:val="22"/>
                <w:lang w:eastAsia="ru-RU"/>
              </w:rPr>
            </w:pPr>
            <w:r>
              <w:rPr>
                <w:rFonts w:eastAsia="Calibri" w:cs="Times New Roman"/>
                <w:sz w:val="22"/>
              </w:rPr>
              <w:t xml:space="preserve">В соответствии с Федеральным законом от 4 мая 2011 г. № 99-ФЗ «О лицензировании отдельных видов деятельности» выдача лицензии на </w:t>
              <w:br/>
              <w:t>образовательную деятельность носит заявительный характер, при этом лицензиат должен соответствовать необходимым условиям для ведения образовательной деятельности в соответствии с действующим законодательством. В связи с этим прогнозировать резкое увеличение на рынке среднего профессионального образования, открытие новых частных образовательных организаций затруднительно.</w:t>
            </w:r>
          </w:p>
        </w:tc>
      </w:tr>
      <w:tr>
        <w:trPr>
          <w:trHeight w:val="7785"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Предоставление услуг среднего профессионального образования в частных профессиональных образовательных организациях, реализующих программы среднего профессионального образования</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eastAsia="Times New Roman" w:cs="Arial"/>
                <w:sz w:val="22"/>
                <w:lang w:eastAsia="ru-RU"/>
              </w:rPr>
            </w:pPr>
            <w:r>
              <w:rPr>
                <w:rFonts w:eastAsia="Times New Roman" w:cs="Times New Roman"/>
                <w:sz w:val="22"/>
                <w:lang w:eastAsia="ru-RU"/>
              </w:rPr>
              <w:t>обеспечение доступности услуг частного среднего профессионального образования для населения</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color w:val="FF0000"/>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15,3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18,0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18,1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18,2</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18,3</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tc>
      </w:tr>
      <w:tr>
        <w:trPr>
          <w:trHeight w:val="3840"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3.2</w:t>
            </w:r>
          </w:p>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Оказание методической и консультативной помощи частным профессиональным образовательным организациям, реализующим программы среднего профессионального образования, по вопросам организации образовательной деятельности и порядку предоставления субсидий</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размещение информации на сайте профильного органа исполнительной власти</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количество организаций частной формы собственности, реализующих основные профессиональные образовательные программы – образовательные программы среднего профессионального образования,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25</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eastAsia="ru-RU"/>
              </w:rPr>
              <w:t>2</w:t>
            </w:r>
            <w:r>
              <w:rPr>
                <w:rFonts w:eastAsia="Times New Roman" w:cs="Times New Roman"/>
                <w:sz w:val="22"/>
                <w:lang w:val="en-US" w:eastAsia="ru-RU"/>
              </w:rPr>
              <w:t>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eastAsia="ru-RU"/>
              </w:rPr>
              <w:t>2</w:t>
            </w:r>
            <w:r>
              <w:rPr>
                <w:rFonts w:eastAsia="Times New Roman" w:cs="Times New Roman"/>
                <w:sz w:val="22"/>
                <w:lang w:val="en-US" w:eastAsia="ru-RU"/>
              </w:rPr>
              <w:t>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eastAsia="ru-RU"/>
              </w:rPr>
              <w:t>2</w:t>
            </w:r>
            <w:r>
              <w:rPr>
                <w:rFonts w:eastAsia="Times New Roman" w:cs="Times New Roman"/>
                <w:sz w:val="22"/>
                <w:lang w:val="en-US" w:eastAsia="ru-RU"/>
              </w:rPr>
              <w:t>5</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tc>
      </w:tr>
      <w:tr>
        <w:trPr>
          <w:trHeight w:val="4502"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Проведение ежегодного публичного конкурса по распределению контрольных цифр приема на обучение по имеющим государственную аккредитацию программам среднего профессионального образования за счет средств краевого бюджета</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равных условий деятельности профессиональных образовательных организаций;</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организация и проведение конкурса</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количество организаций частной формы собственности, реализующих основные профессиональные образовательные программы – образовательные программы среднего профессионального образования, принявших участие в публичном конкурсе, единиц</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4</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9" w:hanging="0"/>
              <w:jc w:val="center"/>
              <w:rPr>
                <w:rFonts w:eastAsia="Times New Roman" w:cs="Times New Roman"/>
                <w:sz w:val="22"/>
                <w:lang w:eastAsia="ru-RU"/>
              </w:rPr>
            </w:pPr>
            <w:r>
              <w:rPr>
                <w:rFonts w:eastAsia="Times New Roman" w:cs="Times New Roman"/>
                <w:sz w:val="22"/>
                <w:lang w:eastAsia="ru-RU"/>
              </w:rPr>
              <w:t>4</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5" w:hanging="0"/>
              <w:jc w:val="center"/>
              <w:rPr>
                <w:rFonts w:eastAsia="Times New Roman" w:cs="Times New Roman"/>
                <w:sz w:val="22"/>
                <w:lang w:eastAsia="ru-RU"/>
              </w:rPr>
            </w:pPr>
            <w:r>
              <w:rPr>
                <w:rFonts w:eastAsia="Times New Roman" w:cs="Times New Roman"/>
                <w:sz w:val="22"/>
                <w:lang w:eastAsia="ru-RU"/>
              </w:rPr>
              <w:t>4</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 xml:space="preserve">Рынок дополнительного образования детей </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sz w:val="22"/>
                <w:szCs w:val="28"/>
              </w:rPr>
            </w:pPr>
            <w:r>
              <w:rPr>
                <w:sz w:val="22"/>
                <w:szCs w:val="28"/>
              </w:rPr>
              <w:t>Федеральным проектом «Успех каждого ребенка» национального проекта «Образование» определена цель по обеспечению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 Показатель федерального проекта «Успех каждого ребенка» «Доля детей в возрасте от 05 до 18 лет, охваченных дополнительным образованием» характеризует охват детей в возрасте от 5 до 18 лет, обучающихся по дополнительным общеобразовательным программам, а также проходящих спортивную подготовку (приказ Министерства просвещения Российской Федерации от 20 мая 2021 г. № 262).</w:t>
            </w:r>
          </w:p>
          <w:p>
            <w:pPr>
              <w:pStyle w:val="Normal"/>
              <w:spacing w:lineRule="auto" w:line="240" w:before="0" w:after="0"/>
              <w:ind w:firstLine="709"/>
              <w:rPr>
                <w:sz w:val="22"/>
                <w:szCs w:val="28"/>
              </w:rPr>
            </w:pPr>
            <w:r>
              <w:rPr>
                <w:sz w:val="22"/>
                <w:szCs w:val="28"/>
              </w:rPr>
              <w:t xml:space="preserve">Так, по итогам 2020 года охват детей в крае дополнительным образованием составил 78 %. По состоянию на 1 ноября 2021 г. по данным ЕАИС ДО охват детей дополнительным образованием составил 73,8 %. Плановый показатель на 2021 год для Краснодарского края установлен на уровне 74 %. </w:t>
            </w:r>
          </w:p>
          <w:p>
            <w:pPr>
              <w:pStyle w:val="Normal"/>
              <w:spacing w:lineRule="auto" w:line="240" w:before="0" w:after="0"/>
              <w:ind w:firstLine="709"/>
              <w:rPr>
                <w:sz w:val="22"/>
                <w:szCs w:val="28"/>
              </w:rPr>
            </w:pPr>
            <w:r>
              <w:rPr>
                <w:sz w:val="22"/>
                <w:szCs w:val="28"/>
              </w:rPr>
              <w:t>В соответствии с распоряжением главы администрации (губернатора) Краснодарского края от 4 июня 2019 г. № 177-р в Краснодарском крае с 2020 года реализуются мероприятия по формированию современных управленческих решений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 Для учета детей в системе дополнительного образования функционирует АИС «Навигатор дополнительного образования детей Краснодарского края» (далее – Навигатор). Навигатор рассчитан на родителей, а также представителей учреждений дополнительного образования (вне зависимости от формы собственности) и органов власти, принимающих управленческие решения в области дополнительного образования. В Навигаторе представлены для родителей предложения мест дополнительного образования в крае и их подробное описание: адрес, цели, программы и т. д. В настоящее время это более 22 тыс. программ.</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r>
          </w:p>
        </w:tc>
      </w:tr>
      <w:tr>
        <w:trPr>
          <w:trHeight w:val="2662"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Оказание методической и консультативной помощи частным организациям по вопросам организации дополнительного образования детей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повышение уровня информированности организаций и населения;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равных условий деятельности организаций дополнительного образования детей;</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размещение информации на сайте министерства образования, науки и молодежной политики Краснодарского края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дополнительного образования детей,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5,3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5,4</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5,5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5,6</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color w:val="000000"/>
                <w:sz w:val="22"/>
                <w:lang w:eastAsia="ru-RU"/>
              </w:rPr>
            </w:pPr>
            <w:r>
              <w:rPr>
                <w:rFonts w:eastAsia="Times New Roman" w:cs="Times New Roman"/>
                <w:color w:val="000000"/>
                <w:sz w:val="22"/>
                <w:lang w:eastAsia="ru-RU"/>
              </w:rPr>
              <w:t>5,7</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образования, науки и молодежной политики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Информирование потребителей о возможностях получения дополнительного образования за счет ведения навигатора     по дополнительным общеобразовательным программам в информационно-телекоммуникационной сети «Интернет»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уровня информированности организаций и населения;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равных условий деятельности организаций дополнительного образования детей;</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размещение информации на сайте министерства образования, науки и молодежной политики Краснодарского края</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left"/>
              <w:rPr>
                <w:rFonts w:eastAsia="Times New Roman" w:cs="Times New Roman"/>
                <w:sz w:val="22"/>
                <w:lang w:eastAsia="ru-RU"/>
              </w:rPr>
            </w:pPr>
            <w:r>
              <w:rPr>
                <w:rFonts w:eastAsia="Times New Roman" w:cs="Times New Roman"/>
                <w:sz w:val="22"/>
                <w:lang w:eastAsia="ru-RU"/>
              </w:rPr>
              <w:t xml:space="preserve">навигатор по </w:t>
              <w:br/>
              <w:t xml:space="preserve">дополнительным </w:t>
              <w:br/>
              <w:t xml:space="preserve">общеобразовательным программам,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kern w:val="2"/>
                <w:sz w:val="22"/>
                <w:shd w:fill="FFFFFF" w:val="clear"/>
                <w:lang w:eastAsia="ar-SA"/>
              </w:rPr>
              <w:t xml:space="preserve">Мониторинг обеспечения органами местного самоуправления </w:t>
            </w:r>
            <w:r>
              <w:rPr>
                <w:rFonts w:eastAsia="Times New Roman" w:cs="Times New Roman"/>
                <w:sz w:val="22"/>
                <w:lang w:eastAsia="ru-RU"/>
              </w:rPr>
              <w:t xml:space="preserve">муниципальных образований Краснодарского края </w:t>
            </w:r>
            <w:r>
              <w:rPr>
                <w:kern w:val="2"/>
                <w:sz w:val="22"/>
                <w:shd w:fill="FFFFFF" w:val="clear"/>
                <w:lang w:eastAsia="ar-SA"/>
              </w:rPr>
              <w:t>равного доступа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(за исключением финансирования дополнительного образования в детских школах искусств)</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равных условий деятельности организаций государственной и частной форм собственности на рынке дополнительного образования</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до 31</w:t>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декабря</w:t>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2023 г.</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участие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 наличие</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Рынок детского отдыха и оздоровления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eastAsia="Calibri" w:cs="Times New Roman"/>
                <w:sz w:val="22"/>
                <w:szCs w:val="24"/>
              </w:rPr>
            </w:pPr>
            <w:r>
              <w:rPr>
                <w:rFonts w:eastAsia="Calibri" w:cs="Times New Roman"/>
                <w:sz w:val="22"/>
                <w:szCs w:val="24"/>
              </w:rPr>
              <w:t xml:space="preserve">Детская оздоровительная кампания в Краснодарском крае носит круглогодичный характер, что позволяет организациям отдыха детей и их оздоровления функционировать как сезонно, так и круглый год, увеличивая численность детей, охваченных отдыхом и оздоровлением. </w:t>
            </w:r>
          </w:p>
          <w:p>
            <w:pPr>
              <w:pStyle w:val="Normal"/>
              <w:spacing w:lineRule="auto" w:line="240" w:before="0" w:after="0"/>
              <w:ind w:firstLine="731"/>
              <w:rPr>
                <w:rFonts w:eastAsia="Calibri" w:cs="Times New Roman"/>
                <w:sz w:val="22"/>
                <w:szCs w:val="24"/>
              </w:rPr>
            </w:pPr>
            <w:r>
              <w:rPr>
                <w:rFonts w:eastAsia="Calibri" w:cs="Times New Roman"/>
                <w:sz w:val="22"/>
                <w:szCs w:val="24"/>
              </w:rPr>
              <w:t xml:space="preserve">По состоянию на 1 октября 2021 г. всеми формами отдыха, оздоровления и детско-юношеского туризма охвачено 266,6 тысяч школьников, проживающих на территории Краснодарского края, из них в летний период охвачено – 251,5 тысяч детей (186,6 тысяч детей побывали в лагерях и санаториях, 64,9 тысяч – в многодневных походах). </w:t>
            </w:r>
          </w:p>
          <w:p>
            <w:pPr>
              <w:pStyle w:val="Normal"/>
              <w:spacing w:lineRule="auto" w:line="240" w:before="0" w:after="0"/>
              <w:ind w:firstLine="731"/>
              <w:rPr>
                <w:rFonts w:eastAsia="Calibri" w:cs="Times New Roman"/>
                <w:sz w:val="22"/>
                <w:szCs w:val="24"/>
              </w:rPr>
            </w:pPr>
            <w:r>
              <w:rPr>
                <w:rFonts w:eastAsia="Calibri" w:cs="Times New Roman"/>
                <w:sz w:val="22"/>
                <w:szCs w:val="24"/>
              </w:rPr>
              <w:t>На проведение детской оздоровительной кампании в Краснодарском крае направлено 2 332,8 млн рублей бюджетных средств, что на 580 млн рублей больше, чем в освоено в 2020 году. Увеличение краевого бюджета способствует увеличению количества закупленных путевок (курсовок) в частных организациях отдыха детей и их оздоровления в рамках заключенных государственных контрактов.  Путевки (курсовки) приобретаются министерством по результатам проведения конкурсных процедур 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Административные барьеры для входа на рынок частного бизнеса отсутствуют.</w:t>
            </w:r>
          </w:p>
          <w:p>
            <w:pPr>
              <w:pStyle w:val="Normal"/>
              <w:spacing w:lineRule="auto" w:line="240" w:before="0" w:after="0"/>
              <w:ind w:firstLine="731"/>
              <w:rPr>
                <w:rFonts w:eastAsia="Calibri" w:cs="Times New Roman"/>
                <w:sz w:val="22"/>
                <w:szCs w:val="24"/>
              </w:rPr>
            </w:pPr>
            <w:r>
              <w:rPr>
                <w:rFonts w:eastAsia="Calibri" w:cs="Times New Roman"/>
                <w:sz w:val="22"/>
                <w:szCs w:val="24"/>
              </w:rPr>
              <w:t>По состоянию на 1 октября 2021 г. в Краснодарском крае функционировали 1 469 организаций отдыха детей и их оздоровления, в том числе: 95 организаций отдыха детей и их оздоровления сезонного или круглогодичного действия; 988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386 детских лагеря труда и отдыха. Работа детских лагерей палаточного типа запрещена постановлением главы администрации (губернатора) Краснодарского края от 13.03.2020 № 129 «О введении режима повышенной готовности на территории Краснодарского края».</w:t>
            </w:r>
          </w:p>
          <w:p>
            <w:pPr>
              <w:pStyle w:val="Normal"/>
              <w:spacing w:lineRule="auto" w:line="240" w:before="0" w:after="0"/>
              <w:ind w:firstLine="731"/>
              <w:rPr>
                <w:rFonts w:eastAsia="Calibri" w:cs="Times New Roman"/>
                <w:sz w:val="22"/>
                <w:szCs w:val="24"/>
              </w:rPr>
            </w:pPr>
            <w:r>
              <w:rPr>
                <w:rFonts w:eastAsia="Calibri" w:cs="Times New Roman"/>
                <w:sz w:val="22"/>
                <w:szCs w:val="24"/>
              </w:rPr>
              <w:t xml:space="preserve">В крае ежегодно сокращается количество частных стационарных круглогодичных и сезонных организаций отдыха детей и их оздоровления. </w:t>
            </w:r>
          </w:p>
          <w:p>
            <w:pPr>
              <w:pStyle w:val="Normal"/>
              <w:spacing w:lineRule="auto" w:line="240" w:before="0" w:after="0"/>
              <w:ind w:firstLine="731"/>
              <w:rPr>
                <w:rFonts w:eastAsia="Calibri" w:cs="Times New Roman"/>
                <w:sz w:val="22"/>
                <w:szCs w:val="24"/>
              </w:rPr>
            </w:pPr>
            <w:r>
              <w:rPr>
                <w:rFonts w:eastAsia="Calibri" w:cs="Times New Roman"/>
                <w:sz w:val="22"/>
                <w:szCs w:val="24"/>
              </w:rPr>
              <w:t xml:space="preserve">Ввиду ограничений, направленных на предотвращение распространения новой коронавирусной инфекции </w:t>
            </w:r>
            <w:r>
              <w:rPr>
                <w:rFonts w:eastAsia="Calibri" w:cs="Times New Roman"/>
                <w:sz w:val="22"/>
                <w:szCs w:val="24"/>
                <w:lang w:val="en-US"/>
              </w:rPr>
              <w:t>COVID</w:t>
            </w:r>
            <w:r>
              <w:rPr>
                <w:rFonts w:eastAsia="Calibri" w:cs="Times New Roman"/>
                <w:sz w:val="22"/>
                <w:szCs w:val="24"/>
              </w:rPr>
              <w:t xml:space="preserve">-19, из 109 детских здравниц, включенных в реестр организаций отдыха детей и их оздоровления, расположенных на территории Краснодарского края, в летний период 2020 года открылось только 44. В 2019 году не приняли детей 4 частных детских лагеря, в 2018 году – 3, в 2017 году – 5.  </w:t>
            </w:r>
          </w:p>
          <w:p>
            <w:pPr>
              <w:pStyle w:val="Normal"/>
              <w:spacing w:lineRule="auto" w:line="240" w:before="0" w:after="0"/>
              <w:ind w:firstLine="731"/>
              <w:rPr>
                <w:rFonts w:eastAsia="Calibri" w:cs="Times New Roman"/>
                <w:sz w:val="22"/>
                <w:szCs w:val="24"/>
              </w:rPr>
            </w:pPr>
            <w:r>
              <w:rPr>
                <w:rFonts w:eastAsia="Calibri" w:cs="Times New Roman"/>
                <w:sz w:val="22"/>
                <w:szCs w:val="24"/>
              </w:rPr>
              <w:t>По состоянию на 1 октября 2021 г. из 95 объектов, функционирующих в 2021 году – 64 (67,3 %) находятся в частной собственности, 17 лагерей (18 %) – в муниципальной и 14 (14,7 %) – в государственной и краевой собственности.</w:t>
            </w:r>
          </w:p>
          <w:p>
            <w:pPr>
              <w:pStyle w:val="Normal"/>
              <w:spacing w:lineRule="auto" w:line="240" w:before="0" w:after="0"/>
              <w:ind w:firstLine="731"/>
              <w:rPr>
                <w:rFonts w:eastAsia="Times New Roman" w:cs="Times New Roman"/>
                <w:sz w:val="22"/>
                <w:lang w:eastAsia="ru-RU"/>
              </w:rPr>
            </w:pPr>
            <w:r>
              <w:rPr>
                <w:rFonts w:eastAsia="Calibri" w:cs="Times New Roman"/>
                <w:sz w:val="22"/>
                <w:szCs w:val="24"/>
              </w:rPr>
              <w:t>Причинами ухода детских здравниц с рынка услуг детского отдыха и оздоровления являются: маркетинговая политика собственника (переход на семейный отдых); риски распространения новой коронавирусной инфекции COVID-19; отсутствие достаточных средств на улучшение материально-технической базы, а также на приведение мероприятий по устранению нарушений законодательства и приведение в соответствие с требованиями санитарного законодательства, пожарной безопасности и антитеррористической защищенности; смена собственника; проведение реконструкции, капитального ремонта; отсутствие арендатора.  На сегодняшний день правовые механизмы влияния на решения собственников частных здравниц в законодательстве отсутствуют.</w:t>
            </w:r>
            <w:r>
              <w:rPr>
                <w:rFonts w:eastAsia="Times New Roman" w:cs="Times New Roman"/>
                <w:color w:val="FF0000"/>
                <w:sz w:val="20"/>
                <w:lang w:eastAsia="ru-RU"/>
              </w:rPr>
              <w:t xml:space="preserve">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5.1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Поддержка и повышение заинтересованности организаций частной формы собственности в оказании услуг отдыха и оздоровления детей, включая предоставление налоговых льгот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повышение уровня информированности организаций и населения;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повышение доли численности детей, которым оказываются услуги отдыха и оздоровления в организациях частной формы собственности;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размещение информации на официальном сайте МТ и СР КК</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организаций отдыха и оздоровления детей частной формы собственности, процентов</w:t>
            </w:r>
          </w:p>
        </w:tc>
        <w:tc>
          <w:tcPr>
            <w:tcW w:w="127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21,5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hanging="0"/>
              <w:jc w:val="center"/>
              <w:rPr>
                <w:rFonts w:eastAsia="Times New Roman" w:cs="Times New Roman"/>
                <w:sz w:val="22"/>
                <w:lang w:eastAsia="ru-RU"/>
              </w:rPr>
            </w:pPr>
            <w:r>
              <w:rPr>
                <w:rFonts w:eastAsia="Times New Roman" w:cs="Times New Roman"/>
                <w:sz w:val="22"/>
                <w:lang w:eastAsia="ru-RU"/>
              </w:rPr>
              <w:t>21,5</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22,0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22,2</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22,5</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труда и социального развития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5.2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000000"/>
                <w:sz w:val="22"/>
                <w:lang w:eastAsia="ru-RU"/>
              </w:rPr>
            </w:pPr>
            <w:r>
              <w:rPr>
                <w:rFonts w:eastAsia="Calibri" w:cs="Times New Roman"/>
                <w:color w:val="000000"/>
                <w:sz w:val="22"/>
                <w:lang w:eastAsia="ru-RU"/>
              </w:rPr>
              <w:t xml:space="preserve">Ведение реестра организаций отдыха детей и их оздоровления и размещение его в открытом доступе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уровня информированности организаций и населения;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размещение информации на официальном сайте МТ и СР КК</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размещение информации на официальном сайте МТ и СР КК, наличие</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труда и социального развития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5.3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000000"/>
                <w:sz w:val="22"/>
                <w:lang w:eastAsia="ru-RU"/>
              </w:rPr>
            </w:pPr>
            <w:r>
              <w:rPr>
                <w:rFonts w:eastAsia="Calibri" w:cs="Times New Roman"/>
                <w:color w:val="000000"/>
                <w:sz w:val="22"/>
                <w:lang w:eastAsia="ru-RU"/>
              </w:rPr>
              <w:t>Модернизация автоматизированной информационной системы «детские здравницы» в части автоматизации процессов создания, ведения, актуализации и мониторинга реестра организаций отдыха детей и их оздоровления, расположенных на территории Краснодарского края</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уровня информированности населения об уровне услуг, оказываемых организациями отдыха детей и их оздоровления, расположенных на территории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обеспечение своевременного включения, внесения и актуализации сведений;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снижение административной нагрузки на бизнес при осуществлении регионального государственного контроля (надзора) за достоверностью и актуальностью сведений, содержащихся в реестре организаций отдыха детей и их оздоровления, расположенных на территории Краснодарского края (отнесение объектов контроля к категории низкого риска, при котором плановые проверки не проводятся)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модернизация автоматизированной информационной системы «детские здравницы», наличие</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труда и социального развития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Calibri" w:cs="Times New Roman"/>
                <w:sz w:val="22"/>
                <w:lang w:eastAsia="ru-RU"/>
              </w:rPr>
            </w:pPr>
            <w:r>
              <w:rPr>
                <w:rFonts w:eastAsia="Calibri" w:cs="Times New Roman"/>
                <w:sz w:val="22"/>
                <w:shd w:fill="E2EFD9" w:val="clear"/>
                <w:lang w:eastAsia="ru-RU"/>
              </w:rPr>
              <w:t>Ры</w:t>
            </w:r>
            <w:r>
              <w:rPr>
                <w:rFonts w:eastAsia="Calibri" w:cs="Times New Roman"/>
                <w:sz w:val="22"/>
                <w:lang w:eastAsia="ru-RU"/>
              </w:rPr>
              <w:t>нок медицинских услуг</w:t>
            </w:r>
          </w:p>
        </w:tc>
      </w:tr>
      <w:tr>
        <w:trPr>
          <w:trHeight w:val="580"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В Краснодарском крае рынок медицинских услуг активно развивается, отмечается высокий уровень конкуренции в сфере оказания медицинских услуг. Ежегодно платная медицина охватывает все новые сегменты рынка медицины, открываются новые специализированные и многопрофильные клиники, кабинеты.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В настоящее время в Краснодарском крае имеют лицензии на оказание медицинских услуг 5735 организаций, из которых 4550 медицинских организаций (в том числе, частной системы здравоохранения - 3056 медицинских организаций, государственной собственности Краснодарского края - 223 медицинских организаций, федеральной собственности - 103 медицинских организаций, 1168 индивидуальных предпринимателей) и 1185 организаций не медицинской направленности (в том числе, общественные организации, образовательные учреждения, организации социального обслуживания и др.). Наибольшая концентрация медицинских организаций государственной и частной форм собственности отмечается в г. Краснодар, г. Сочи.</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Значительную долю медицинских услуг, оказываемых частной системой здравоохранения на территории Краснодарского края, составляют стоматологические услуги, диагностические и лабораторные исследования, амбулаторно-поликлиническая помощь. Ежегодно возрастает число жителей, обращающихся именно за платной медицинской помощью.</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Доступ частных медицинских организаций к участию в реализации Территориальной программы обязательного медицинского страхования Краснодарского края (далее – ТП ОМС) носит заявительный характер. Административных барьеров для выхода на рынок частного бизнеса нет.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В целом имеет место тенденция к увеличению количества негосударственных медицинских организаций, заявившихся к участию в реализации ТП ОМС (в 2020 году – 61 медицинская организация, в 2021 году – 73, в том числе: обществ с ограниченной ответственностью (ООО) – 62; открытых акционерных обществ (ОАО) – 2; акционерных обществ (АО) – 2; частных учреждений здравоохранения «РЖД-Медицина» – 4; закрытых акционерных обществ (ЗАО) – 3), что свидетельствует о динамичном развитии конкурентной среды на рынке медицинских услуг.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В условиях эпидемиологической обстановки, связанной с заболеваемостью новой коронавирусной инфекцией (COVID-19), фактически оказывают медицинскую помощь лишь половина заявленных к участию негосударственных медицинских организаций.</w:t>
            </w:r>
          </w:p>
        </w:tc>
      </w:tr>
      <w:tr>
        <w:trPr>
          <w:trHeight w:val="2139"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6.1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Информирование о возможности и порядке участия негосударственных медицинских организаций в реализации ТП ОМС.</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Увеличение числа медицинских организаций частной системы здравоохранения, участвующих в реализации ТП ОМС</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доступности вхождения субъектов предпринимательства в сферу предоставления медицинских услуг;</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color w:val="000000"/>
                <w:sz w:val="22"/>
                <w:lang w:eastAsia="ru-RU"/>
              </w:rPr>
            </w:pPr>
            <w:r>
              <w:rPr>
                <w:rFonts w:eastAsia="Times New Roman" w:cs="Times New Roman"/>
                <w:sz w:val="22"/>
                <w:lang w:eastAsia="ru-RU"/>
              </w:rPr>
              <w:t xml:space="preserve">наличие активного перехода на портал госуслуг КК на официальном сайте </w:t>
            </w:r>
            <w:r>
              <w:rPr>
                <w:rFonts w:eastAsia="Times New Roman" w:cs="Times New Roman"/>
                <w:color w:val="000000"/>
                <w:sz w:val="22"/>
                <w:lang w:eastAsia="ru-RU"/>
              </w:rPr>
              <w:t xml:space="preserve">министерства </w:t>
            </w:r>
          </w:p>
          <w:p>
            <w:pPr>
              <w:pStyle w:val="Normal"/>
              <w:spacing w:lineRule="auto" w:line="240" w:before="0" w:after="0"/>
              <w:rPr>
                <w:rFonts w:eastAsia="Times New Roman" w:cs="Times New Roman"/>
                <w:color w:val="000000"/>
                <w:sz w:val="22"/>
                <w:lang w:eastAsia="ru-RU"/>
              </w:rPr>
            </w:pPr>
            <w:r>
              <w:rPr>
                <w:rFonts w:eastAsia="Times New Roman" w:cs="Times New Roman"/>
                <w:color w:val="000000"/>
                <w:sz w:val="22"/>
                <w:lang w:eastAsia="ru-RU"/>
              </w:rPr>
              <w:t>здравоохранения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медицинских организаций частной системы здравоохранения, участвующих в реализации ТП ОМС, процентов</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доля организаций частной формы собственности составляет не менее: 10 процентов,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в том числе, доля субъектов малого и среднего предпринимательства - не менее 80 процентов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11,9</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80</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11,9</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11,9</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11,9</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11,9</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color w:val="000000"/>
                <w:sz w:val="22"/>
                <w:lang w:eastAsia="ru-RU"/>
              </w:rPr>
            </w:pPr>
            <w:r>
              <w:rPr>
                <w:rFonts w:eastAsia="Times New Roman" w:cs="Times New Roman"/>
                <w:color w:val="000000"/>
                <w:sz w:val="22"/>
                <w:lang w:eastAsia="ru-RU"/>
              </w:rPr>
              <w:t xml:space="preserve">министерство </w:t>
            </w:r>
          </w:p>
          <w:p>
            <w:pPr>
              <w:pStyle w:val="Normal"/>
              <w:spacing w:lineRule="auto" w:line="240" w:before="0" w:after="0"/>
              <w:rPr>
                <w:rFonts w:eastAsia="Times New Roman" w:cs="Times New Roman"/>
                <w:color w:val="000000"/>
                <w:sz w:val="22"/>
                <w:lang w:eastAsia="ru-RU"/>
              </w:rPr>
            </w:pPr>
            <w:r>
              <w:rPr>
                <w:rFonts w:eastAsia="Times New Roman" w:cs="Times New Roman"/>
                <w:color w:val="000000"/>
                <w:sz w:val="22"/>
                <w:lang w:eastAsia="ru-RU"/>
              </w:rPr>
              <w:t>здравоохранения Краснодарского края</w:t>
            </w:r>
          </w:p>
          <w:p>
            <w:pPr>
              <w:pStyle w:val="Normal"/>
              <w:spacing w:lineRule="auto" w:line="240" w:before="0" w:after="0"/>
              <w:rPr>
                <w:rFonts w:eastAsia="Times New Roman" w:cs="Times New Roman"/>
                <w:color w:val="000000"/>
                <w:sz w:val="22"/>
                <w:lang w:eastAsia="ru-RU"/>
              </w:rPr>
            </w:pPr>
            <w:r>
              <w:rPr>
                <w:rFonts w:eastAsia="Times New Roman" w:cs="Times New Roman"/>
                <w:color w:val="000000"/>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территориальный фонд обязательного медицинского страхования Краснодарского края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6.2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Упрощение процедуры подачи заявок на получение лицензий на осуществление медицинской деятельности через региональный портал государственных и муниципальных услуг Краснодарского края (далее – портал госуслуг КК) путем развития функции единого личного кабинета пользователя</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color w:val="000000"/>
                <w:sz w:val="22"/>
                <w:lang w:eastAsia="ru-RU"/>
              </w:rPr>
            </w:pPr>
            <w:r>
              <w:rPr>
                <w:rFonts w:eastAsia="Times New Roman" w:cs="Times New Roman"/>
                <w:color w:val="000000"/>
                <w:sz w:val="22"/>
                <w:lang w:eastAsia="ru-RU"/>
              </w:rPr>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Calibri" w:cs="Times New Roman"/>
                <w:sz w:val="22"/>
                <w:lang w:eastAsia="ru-RU"/>
              </w:rPr>
            </w:pPr>
            <w:r>
              <w:rPr>
                <w:rFonts w:eastAsia="Calibri" w:cs="Times New Roman"/>
                <w:sz w:val="22"/>
                <w:lang w:eastAsia="ru-RU"/>
              </w:rPr>
              <w:t>Рынок розничной торговли лекарственными препаратами, медицинскими изделиями</w:t>
            </w:r>
          </w:p>
        </w:tc>
      </w:tr>
      <w:tr>
        <w:trPr>
          <w:trHeight w:val="3415"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8"/>
              <w:jc w:val="left"/>
              <w:rPr>
                <w:rFonts w:eastAsia="Times New Roman" w:cs="Times New Roman"/>
                <w:sz w:val="22"/>
                <w:lang w:eastAsia="ru-RU"/>
              </w:rPr>
            </w:pPr>
            <w:r>
              <w:rPr>
                <w:rFonts w:eastAsia="Times New Roman" w:cs="Times New Roman"/>
                <w:sz w:val="22"/>
                <w:lang w:eastAsia="ru-RU"/>
              </w:rPr>
              <w:t xml:space="preserve">Розничную аптечную сеть Краснодарского края составляют более 3,8 тысячи аптечных организаций частной формы собственности, имеющих </w:t>
            </w:r>
            <w:r>
              <w:rPr>
                <w:sz w:val="22"/>
              </w:rPr>
              <w:t>лицензию на осуществление фармацевтической деятельности в части розничной торговли</w:t>
            </w:r>
            <w:r>
              <w:rPr>
                <w:rFonts w:eastAsia="Times New Roman" w:cs="Times New Roman"/>
                <w:sz w:val="22"/>
                <w:lang w:eastAsia="ru-RU"/>
              </w:rPr>
              <w:t xml:space="preserve">. </w:t>
            </w:r>
          </w:p>
          <w:p>
            <w:pPr>
              <w:pStyle w:val="Normal"/>
              <w:spacing w:lineRule="auto" w:line="240" w:before="0" w:after="0"/>
              <w:ind w:firstLine="738"/>
              <w:rPr>
                <w:rFonts w:eastAsia="Times New Roman" w:cs="Times New Roman"/>
                <w:sz w:val="22"/>
                <w:lang w:eastAsia="ru-RU"/>
              </w:rPr>
            </w:pPr>
            <w:r>
              <w:rPr>
                <w:rFonts w:eastAsia="Times New Roman" w:cs="Times New Roman"/>
                <w:sz w:val="22"/>
                <w:lang w:eastAsia="ru-RU"/>
              </w:rPr>
              <w:t xml:space="preserve">Кроме того, в сельских населенных пунктах получили разрешительные документы на розничную торговлю лекарственными препаратами </w:t>
              <w:br/>
              <w:t xml:space="preserve">539 обособленных подразделений медицинских организаций. Социальную функцию по льготному лекарственному обеспечению жителей Краснодарского края выполняет 117 аптечных организаций. </w:t>
            </w:r>
          </w:p>
          <w:p>
            <w:pPr>
              <w:pStyle w:val="Normal"/>
              <w:spacing w:lineRule="auto" w:line="240" w:before="0" w:after="0"/>
              <w:ind w:firstLine="738"/>
              <w:rPr>
                <w:rFonts w:eastAsia="Times New Roman" w:cs="Times New Roman"/>
                <w:sz w:val="22"/>
                <w:lang w:eastAsia="ru-RU"/>
              </w:rPr>
            </w:pPr>
            <w:r>
              <w:rPr>
                <w:rFonts w:eastAsia="Times New Roman" w:cs="Times New Roman"/>
                <w:sz w:val="22"/>
                <w:lang w:eastAsia="ru-RU"/>
              </w:rPr>
              <w:t>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 Предъявляемые высокие лицензионные требования к аптекам оправданы специфичностью реализуемых товаров, влияющих на здоровье населения.</w:t>
            </w:r>
          </w:p>
          <w:p>
            <w:pPr>
              <w:pStyle w:val="Normal"/>
              <w:spacing w:lineRule="auto" w:line="240" w:before="0" w:after="0"/>
              <w:ind w:firstLine="738"/>
              <w:rPr>
                <w:rFonts w:eastAsia="Times New Roman" w:cs="Times New Roman"/>
                <w:sz w:val="22"/>
                <w:lang w:eastAsia="ru-RU"/>
              </w:rPr>
            </w:pPr>
            <w:r>
              <w:rPr>
                <w:rFonts w:eastAsia="Times New Roman" w:cs="Times New Roman"/>
                <w:sz w:val="22"/>
                <w:lang w:eastAsia="ru-RU"/>
              </w:rP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 процессе работы также увеличиваются требования к осуществлению деятельности, повышающие затраты бизнеса. Так, например, введены новые требования – обязательное наличие онлайн-кассы, установка и обслуживание которых увеличивают затраты хозяйствующих субъектов. Указанное требование скажется на деятельности аптек в сельской местности. Вводимая обязательная маркировка лекарственных препаратов также требует увеличения финансовых и трудовых затрат. Административных барьеров для входа на рынок частного бизнеса нет</w:t>
            </w:r>
          </w:p>
        </w:tc>
      </w:tr>
      <w:tr>
        <w:trPr>
          <w:trHeight w:val="2683"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7.1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Упрощение процедуры подачи заявок на получение лицензий на осуществление фармацевтической деятельности через портал госуслуг КК путем развития функции единого личного кабинета пользователя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color w:val="000000"/>
                <w:sz w:val="22"/>
                <w:lang w:eastAsia="ru-RU"/>
              </w:rPr>
            </w:pPr>
            <w:r>
              <w:rPr>
                <w:rFonts w:eastAsia="Times New Roman" w:cs="Times New Roman"/>
                <w:sz w:val="22"/>
                <w:lang w:eastAsia="ru-RU"/>
              </w:rPr>
              <w:t xml:space="preserve">наличие активного перехода на портал госсуслуг КК на официальном сайте </w:t>
            </w:r>
            <w:r>
              <w:rPr>
                <w:rFonts w:eastAsia="Times New Roman" w:cs="Times New Roman"/>
                <w:color w:val="000000"/>
                <w:sz w:val="22"/>
                <w:lang w:eastAsia="ru-RU"/>
              </w:rPr>
              <w:t xml:space="preserve">министерства </w:t>
            </w:r>
          </w:p>
          <w:p>
            <w:pPr>
              <w:pStyle w:val="Normal"/>
              <w:spacing w:lineRule="auto" w:line="240" w:before="0" w:after="0"/>
              <w:rPr>
                <w:rFonts w:eastAsia="Times New Roman" w:cs="Times New Roman"/>
                <w:color w:val="000000"/>
                <w:sz w:val="22"/>
                <w:lang w:eastAsia="ru-RU"/>
              </w:rPr>
            </w:pPr>
            <w:r>
              <w:rPr>
                <w:rFonts w:eastAsia="Times New Roman" w:cs="Times New Roman"/>
                <w:color w:val="000000"/>
                <w:sz w:val="22"/>
                <w:lang w:eastAsia="ru-RU"/>
              </w:rPr>
              <w:t>здравоохранения Краснодарского края;</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повышение доступности вхождения субъектов предпринимательства на рынок лекарственных средств;</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повышение уровня информированности предпринимателей,</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осуществляющих хозяйственную</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деятельность на товарном рынке</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на рынке розничной торговли лекарственными препаратами, медицинскими изделиями, процентов</w:t>
            </w:r>
          </w:p>
        </w:tc>
        <w:tc>
          <w:tcPr>
            <w:tcW w:w="12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80,7</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highlight w:val="yellow"/>
                <w:lang w:eastAsia="ru-RU"/>
              </w:rPr>
            </w:pPr>
            <w:r>
              <w:rPr>
                <w:rFonts w:eastAsia="Times New Roman" w:cs="Times New Roman"/>
                <w:sz w:val="22"/>
                <w:lang w:eastAsia="ru-RU"/>
              </w:rPr>
              <w:t>81,0</w:t>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81,2</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81,4</w:t>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81,6 </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color w:val="000000"/>
                <w:sz w:val="22"/>
                <w:lang w:eastAsia="ru-RU"/>
              </w:rPr>
            </w:pPr>
            <w:r>
              <w:rPr>
                <w:rFonts w:eastAsia="Times New Roman" w:cs="Times New Roman"/>
                <w:color w:val="000000"/>
                <w:sz w:val="22"/>
                <w:lang w:eastAsia="ru-RU"/>
              </w:rPr>
              <w:t>министерство здравоохранения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7.2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2" w:hanging="0"/>
              <w:rPr>
                <w:rFonts w:eastAsia="Times New Roman" w:cs="Times New Roman"/>
                <w:sz w:val="22"/>
                <w:lang w:eastAsia="ru-RU"/>
              </w:rPr>
            </w:pPr>
            <w:r>
              <w:rPr>
                <w:rFonts w:eastAsia="Times New Roman" w:cs="Times New Roman"/>
                <w:sz w:val="22"/>
                <w:lang w:eastAsia="ru-RU"/>
              </w:rPr>
              <w:t>Информирование по вопросам лицензирования фармацевтической деятельности</w:t>
            </w:r>
          </w:p>
          <w:p>
            <w:pPr>
              <w:pStyle w:val="Normal"/>
              <w:spacing w:lineRule="auto" w:line="240" w:before="0" w:after="0"/>
              <w:ind w:right="-32" w:hanging="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7.3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2" w:hanging="0"/>
              <w:rPr>
                <w:rFonts w:eastAsia="Times New Roman" w:cs="Times New Roman"/>
                <w:sz w:val="22"/>
                <w:lang w:eastAsia="ru-RU"/>
              </w:rPr>
            </w:pPr>
            <w:r>
              <w:rPr>
                <w:rFonts w:eastAsia="Times New Roman" w:cs="Times New Roman"/>
                <w:sz w:val="22"/>
                <w:lang w:eastAsia="ru-RU"/>
              </w:rPr>
              <w:t>Реорганизация унитарных предприятий, осуществляющих торговлю лекарственными препаратами, медицинскими изделиями и сопутствующими товарами</w:t>
            </w:r>
          </w:p>
          <w:p>
            <w:pPr>
              <w:pStyle w:val="Normal"/>
              <w:spacing w:lineRule="auto" w:line="240" w:before="0" w:after="0"/>
              <w:ind w:right="-32" w:hanging="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7.4</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Разработка программы мероприятий, направленных на стимулирование развития розничной торговли лекарственными препаратами, медицинскими изделиями и сопутствующими товарами в отдаленных, труднодоступных и малочисленных населенных пунктах</w:t>
            </w:r>
          </w:p>
          <w:p>
            <w:pPr>
              <w:pStyle w:val="Normal"/>
              <w:spacing w:lineRule="auto" w:line="240" w:before="0" w:after="0"/>
              <w:ind w:right="-32" w:hanging="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Рынок социальных услуг</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Согласно Федеральному закону от 28 декабря 2013 г. № 442-ФЗ «Об основах социального обслуживания граждан в Российской Федерации» </w:t>
              <w:br/>
              <w:t xml:space="preserve">МТ и СР КК подготовлена нормативно-правовая база для привлечения негосударственных организаций в сферу предоставления социальных услуг. Утверждены перечень предоставляемых социальных услуг, порядок формирования и ведения реестра поставщиков социальных услуг Краснодарского края, порядок определения размера компенсации, выплачиваемых поставщикам социальных услуг, включенным в реестр поставщиков социальных услуг и не участвующим в выполнении государственного задания (заказа). В государственной программе Краснодарского края «Социальная поддержка граждан» предусмотрены мероприятия по выплате компенсаций социально ориентированными некоммерческим организациям (далее – СОНКО), включенным в реестр поставщиков социальных услуг Краснодарского края. Вся необходимая информация для привлечения в сферу социального обслуживания негосударственных организаций, оказывающих социальные услуги в стационарной, полустационарной формах и в форме социального обслуживания на дому, размещена на официальном сайте МТ и СР КК.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На 1 января 2021 года в реестр поставщиков социальных услуг Краснодарского края внесены 194 поставщика социальных услуг: 159 государственных организаций социального обслуживания, подведомственных МТ и СР КК, и 32 негосударственных организаций. Таким образом, доля негосударственных организаций социального обслуживания от общего числа организаций социального обслуживания, включенных в реестр поставщиков социальных услуг Краснодарского края, составила 16,7 %.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Наблюдается низкий уровень конкуренции в сфере социального обслуживания населения. Административные барьеры для выхода на рынок социальных услуг негосударственных организаций отсутствуют, существующая нормативная правовая база обеспечивает участие негосударственных поставщиков в предоставлении социального обслуживания гражданам. Сдерживающим фактором развития конкуренции на рынке услуг социального обслуживания является низкая привлекательность сферы для негосударственных организаций; необходимость соблюдения требований СанПин, противопожарной безопасности для включения негосударственных организаций в реестр поставщиков социальных услуг Краснодарского края; развитая сеть государственных организаций социального обслуживания, а также отсутствие очередности для приема в организации социального обслуживания</w:t>
            </w:r>
          </w:p>
        </w:tc>
      </w:tr>
      <w:tr>
        <w:trPr>
          <w:trHeight w:val="3036"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8.1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Поддержка и повышение заинтересованности организаций частной формы собственности в оказании услуг в сфере социального обслуживания населения, в том числе в качестве негосударственных поставщиков социальных услуг</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создание условий для привлечения негосударственных организаций в сферу оказания социальных услуг;</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формирование реестра поставщиков социальных услуг</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негосударственных организаций социального обслуживания, предоставляющих социальные услуги,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16,7</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highlight w:val="yellow"/>
                <w:lang w:eastAsia="ru-RU"/>
              </w:rPr>
            </w:pPr>
            <w:r>
              <w:rPr>
                <w:rFonts w:eastAsia="Times New Roman" w:cs="Times New Roman"/>
                <w:sz w:val="22"/>
                <w:lang w:eastAsia="ru-RU"/>
              </w:rPr>
              <w:t>17,2</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17,4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19,3</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труда и социального развития Краснодарского края</w:t>
            </w:r>
          </w:p>
        </w:tc>
      </w:tr>
      <w:tr>
        <w:trPr>
          <w:trHeight w:val="2493"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8.2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Ведение реестра поставщиков социальных услуг Краснодарского края</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уровня информированности организаций и населения;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размещение информации на официальном сайте МТ и СР КК</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размещение информации на официальном сайте МТ и СР КК, наличие</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highlight w:val="yellow"/>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труда и социального развития Краснодарского края</w:t>
            </w:r>
          </w:p>
        </w:tc>
      </w:tr>
      <w:tr>
        <w:trPr>
          <w:trHeight w:val="1949"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8.3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Размещение информации о реестре поставщиков социальных услуг Краснодарского края на интерактивном портале социальной защиты населения МТ и СР КК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уровня информированности организаций и населения</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размещение информации о реестре поставщиков социальных услуг Краснодарского края на интерактивном портале социальной защиты населения МТ и СР КК, наличие</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highlight w:val="yellow"/>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труда и социаль-ного развития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Рынок ритуальных услуг</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589"/>
              <w:rPr>
                <w:rFonts w:eastAsia="Times New Roman" w:cs="Times New Roman"/>
                <w:sz w:val="22"/>
                <w:lang w:eastAsia="ru-RU"/>
              </w:rPr>
            </w:pPr>
            <w:r>
              <w:rPr>
                <w:rFonts w:eastAsia="Times New Roman" w:cs="Times New Roman"/>
                <w:sz w:val="22"/>
                <w:lang w:eastAsia="ru-RU"/>
              </w:rPr>
              <w:t>Согласно Федеральному закону от 6 октября 2003 г. №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pPr>
              <w:pStyle w:val="Normal"/>
              <w:spacing w:lineRule="auto" w:line="240" w:before="0" w:after="0"/>
              <w:ind w:firstLine="589"/>
              <w:rPr>
                <w:rFonts w:eastAsia="Times New Roman" w:cs="Times New Roman"/>
                <w:sz w:val="22"/>
                <w:lang w:eastAsia="ru-RU"/>
              </w:rPr>
            </w:pPr>
            <w:r>
              <w:rPr>
                <w:rFonts w:eastAsia="Times New Roman" w:cs="Times New Roman"/>
                <w:sz w:val="22"/>
                <w:lang w:eastAsia="ru-RU"/>
              </w:rPr>
              <w:t>На территории Краснодарского края ритуальные услуги оказывают порядка 350 хозяйствующих субъектов, из которых 290 индивидуальных предпринимателей и 60 муниципальных организаций.</w:t>
            </w:r>
          </w:p>
          <w:p>
            <w:pPr>
              <w:pStyle w:val="Normal"/>
              <w:spacing w:lineRule="auto" w:line="240" w:before="0" w:after="0"/>
              <w:ind w:firstLine="589"/>
              <w:rPr>
                <w:rFonts w:eastAsia="Calibri" w:cs="Times New Roman"/>
                <w:color w:val="000000"/>
                <w:sz w:val="22"/>
                <w:lang w:eastAsia="ru-RU"/>
              </w:rPr>
            </w:pPr>
            <w:r>
              <w:rPr>
                <w:rFonts w:eastAsia="Calibri" w:cs="Times New Roman"/>
                <w:color w:val="000000"/>
                <w:sz w:val="22"/>
                <w:lang w:eastAsia="ru-RU"/>
              </w:rPr>
              <w:t xml:space="preserve">В муниципальных образованиях созданы все условия для развития конкуренции на рынке ритуальных услуг. Предприятиями оказывается широкий спектр услуг, который зависит от выбора и уровня обеспеченности клиента. Доля организаций частной формы собственности в сфере ритуальных услуг составляет 87,38 %. Основными задачами по содействию развитию конкуренции на рынке являются дальнейшее развитие добросовестной конкуренции.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9.1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Поддержка и повышение заинтересованности организаций частной формы собственности в оказании услуг на рынке ритуальных услуг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отчет в министерство экономики Краснодарского края (далее – уполномоченный орган)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ритуальных услуг,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87,38</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87,4</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87,45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87,5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87,5</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2564"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9.2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Информирование о порядке предоставления ритуальных услуг и стоимости услуг, предоставляемых согласно гарантированному перечню услуг по погребению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доступа потребителей и организаций к информации;</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размещение информации на официальном сайте муниципального образования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b/>
                <w:b/>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информация на официальном сайте муниципального образования,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3119"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9.3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Организация инвентаризации кладбищ и мест захоронений на них;</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создание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доведение до населения информации, в том числе с использованием СМИ о создании названных реестров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создание и размещение на региональных порталах государственных и муниципальных услуг реестров кладбищ и мест захоронений на них, в которые включены сведения о существующих кладбищах и местах захоронений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 xml:space="preserve">до 31 </w:t>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 xml:space="preserve">декабря </w:t>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2025 г.</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доля количества существующих кладбищ, в отношении которых созданы и размещены реестры кладбищ и мест захоронений на них, на региональном портале государственных и муниципальных услуг, процентов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br/>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3119"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9.4</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Организация оказания услуг по организации похорон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оказание услуг по организации похорон организовано по принципу «одного окна» на основе конкуренции с предоставлением лицам, ответственным за захоронения, полной информации о хозяйствующих субъектах, содержащейся реестрах хозяйствующих субъектов, имеющих право на оказание услуг по организации похорон, включая стоимость оказываемых хозяйствующими субъектами ритуальных услуг</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 xml:space="preserve">до 31 </w:t>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 xml:space="preserve">декабря </w:t>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2025 г.</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оказание услуг по организации похорон по принципу «одного окна», наличие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contextualSpacing/>
              <w:jc w:val="center"/>
              <w:rPr>
                <w:rFonts w:eastAsia="Calibri" w:cs="Times New Roman"/>
                <w:sz w:val="22"/>
                <w:lang w:eastAsia="ru-RU"/>
              </w:rPr>
            </w:pPr>
            <w:r>
              <w:rPr>
                <w:rFonts w:eastAsia="Calibri" w:cs="Times New Roman"/>
                <w:sz w:val="22"/>
                <w:lang w:eastAsia="ru-RU"/>
              </w:rPr>
              <w:t>Рынок теплоснабжения (производство тепловой энергии)</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На рынке теплоснабжения (производство тепловой энергии) функционируют 2 801 котельная и 3 320 км тепловых сетей, как входящих в системы централизованного теплоснабжения, так и ведомственных. 59 основных специализированных предприятий различной формы собственности (МУП, ООО, АО), которыми эксплуатируется 2 802 км тепловых сетей, 1 487 котельных, из них работают на газе более 85 %, остальные работают на угле и на жидком топливе (дизель и мазут).</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Износ котельных – 59 %, износ тепловых сетей – 67 %, потери тепловой энергии – 13,4 %.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Имеются ограничивающие конкуренцию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Повышение инвестиционной привлекательности отрасли возможно за счет укрупнения предприятий, оптимизации экономики ресурсоснабжающих предприятий и увеличения объема реализации услуг, модернизации систем теплоснабжения за счет частных инвестиций.</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В целях повышения качества предоставления коммунальной услуги по отоплению, снижения финансовой нагрузки на муниципальные бюджеты необходимо привлечение частных инвестиций, энергосбережение, модернизация систем теплоснабжения </w:t>
            </w:r>
          </w:p>
        </w:tc>
      </w:tr>
      <w:tr>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10.1</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Заключение концессионных соглашений, предусматривающих передачу муниципального имущества муниципальных предприятий концессионерам в целях его модернизации, улучшения характеристик и эксплуатационных свойств</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NewRomanPSMT" w:cs="Times New Roman"/>
                <w:sz w:val="22"/>
                <w:lang w:eastAsia="ru-RU"/>
              </w:rPr>
              <w:t xml:space="preserve">заключение </w:t>
              <w:br/>
              <w:t xml:space="preserve">24 концессионных соглашений по модернизации систем теплоснабжения </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доля организаций частной формы собственности в сфере теплоснабжения (производства тепловой энергии), процентов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88,7</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95</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топливно-энергетического комплекса и жилищно-коммунального хозяйства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1607" w:hRule="atLeast"/>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NewRomanPSMT" w:cs="Times New Roman"/>
                <w:sz w:val="22"/>
                <w:lang w:eastAsia="ru-RU"/>
              </w:rPr>
            </w:pPr>
            <w:r>
              <w:rPr>
                <w:rFonts w:eastAsia="TimesNewRomanPSMT"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sz w:val="22"/>
              </w:rPr>
            </w:pPr>
            <w:r>
              <w:rPr>
                <w:sz w:val="22"/>
              </w:rPr>
              <w:t>уровень потерь тепловой энергии при отпуске тепловой энергии,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sz w:val="22"/>
              </w:rPr>
            </w:pPr>
            <w:r>
              <w:rPr>
                <w:sz w:val="22"/>
              </w:rPr>
              <w:t>13,1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sz w:val="22"/>
              </w:rPr>
            </w:pPr>
            <w:r>
              <w:rPr>
                <w:sz w:val="22"/>
              </w:rPr>
              <w:t>13,0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sz w:val="22"/>
              </w:rPr>
            </w:pPr>
            <w:r>
              <w:rPr>
                <w:sz w:val="22"/>
              </w:rPr>
              <w:t>12,8</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sz w:val="22"/>
              </w:rPr>
            </w:pPr>
            <w:r>
              <w:rPr>
                <w:sz w:val="22"/>
              </w:rPr>
              <w:t>12,5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sz w:val="22"/>
              </w:rPr>
            </w:pPr>
            <w:r>
              <w:rPr>
                <w:sz w:val="22"/>
              </w:rPr>
              <w:t>12,1</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contextualSpacing/>
              <w:jc w:val="center"/>
              <w:rPr>
                <w:rFonts w:eastAsia="Times New Roman" w:cs="Times New Roman"/>
                <w:color w:val="FF0000"/>
                <w:sz w:val="22"/>
                <w:lang w:eastAsia="ru-RU"/>
              </w:rPr>
            </w:pPr>
            <w:r>
              <w:rPr>
                <w:rFonts w:eastAsia="Times New Roman" w:cs="Times New Roman"/>
                <w:sz w:val="22"/>
                <w:lang w:eastAsia="ru-RU"/>
              </w:rPr>
              <w:t xml:space="preserve">Сфера обращения с твердыми коммунальными отходами </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8"/>
              <w:rPr>
                <w:rFonts w:eastAsia="Times New Roman" w:cs="Times New Roman"/>
                <w:sz w:val="22"/>
                <w:lang w:eastAsia="ru-RU"/>
              </w:rPr>
            </w:pPr>
            <w:r>
              <w:rPr>
                <w:rFonts w:eastAsia="Times New Roman" w:cs="Times New Roman"/>
                <w:sz w:val="22"/>
                <w:lang w:eastAsia="ru-RU"/>
              </w:rPr>
              <w:t xml:space="preserve">На территории Краснодарского края действует 218 предприятий, специализирующихся на сборе и вывозе твердых коммунальных отходов </w:t>
              <w:br/>
              <w:t>(далее – ТКО), из них 69 являются частными, 149 – муниципальными.</w:t>
            </w:r>
          </w:p>
          <w:p>
            <w:pPr>
              <w:pStyle w:val="Normal"/>
              <w:spacing w:lineRule="auto" w:line="240" w:before="0" w:after="0"/>
              <w:ind w:firstLine="708"/>
              <w:rPr>
                <w:rFonts w:eastAsia="Times New Roman" w:cs="Times New Roman"/>
                <w:sz w:val="22"/>
                <w:lang w:eastAsia="ru-RU"/>
              </w:rPr>
            </w:pPr>
            <w:r>
              <w:rPr>
                <w:rFonts w:eastAsia="Times New Roman" w:cs="Times New Roman"/>
                <w:sz w:val="22"/>
                <w:lang w:eastAsia="ru-RU"/>
              </w:rPr>
              <w:t>Примерный объём вывозимых частными организациями ТКО составляет около 55 %, из них обращение с 22,9 % ТКО организовано силами регионального оператора – АО «Мусороуборочная компания».</w:t>
            </w:r>
          </w:p>
          <w:p>
            <w:pPr>
              <w:pStyle w:val="Normal"/>
              <w:suppressAutoHyphens w:val="true"/>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В условиях реформирования отрасли обращения с ТКО с 1 января 2020 г. на всей территории Краснодарского края определены региональные операторы по обращению с ТКО (частные организации). Зона деятельности регионального оператора представляет собой территорию или часть территории Краснодарского края, на которой региональный оператор осуществляет деятельность на основании соглашения, заключаемого с органом исполнительной власти Краснодарского края.  </w:t>
            </w:r>
          </w:p>
          <w:p>
            <w:pPr>
              <w:pStyle w:val="Normal"/>
              <w:suppressAutoHyphens w:val="true"/>
              <w:spacing w:lineRule="auto" w:line="240" w:before="0" w:after="0"/>
              <w:ind w:firstLine="709"/>
              <w:rPr>
                <w:rFonts w:eastAsia="Times New Roman" w:cs="Times New Roman"/>
                <w:color w:val="FF0000"/>
                <w:sz w:val="22"/>
                <w:lang w:eastAsia="ru-RU"/>
              </w:rPr>
            </w:pPr>
            <w:r>
              <w:rPr>
                <w:rFonts w:eastAsia="Times New Roman" w:cs="Times New Roman"/>
                <w:sz w:val="22"/>
                <w:lang w:eastAsia="ru-RU"/>
              </w:rPr>
              <w:t>Вместе с тем определение подрядных организаций будет проводиться региональными операторами в соответствии с положениями постановления Правительства Российской Федерации от 3 ноября 2016 г.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Участие в указанных торгах смогут принимать как частные, так и муниципальные организации.</w:t>
            </w:r>
          </w:p>
        </w:tc>
      </w:tr>
      <w:tr>
        <w:trPr>
          <w:trHeight w:val="2842"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11.1</w:t>
            </w:r>
          </w:p>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Привлечение на конкурсной основе региональных операторов по обращению с ТКО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110" w:hanging="0"/>
              <w:rPr>
                <w:rFonts w:eastAsia="Times New Roman" w:cs="Times New Roman"/>
                <w:sz w:val="22"/>
                <w:lang w:eastAsia="ru-RU"/>
              </w:rPr>
            </w:pPr>
            <w:r>
              <w:rPr>
                <w:rFonts w:eastAsia="Times New Roman" w:cs="Times New Roman"/>
                <w:sz w:val="22"/>
                <w:lang w:eastAsia="ru-RU"/>
              </w:rPr>
              <w:t xml:space="preserve">повышение экономической эффективности и конкурентоспособности хозяйствующих субъектов в сфере обращения с ТКО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обращения с ТКО, процентов</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увеличение до 30 процентов объема ТКО, транспортируемых организациями частной формы собственности (негосударственными и немуниципальными организациями) и не аффилированными с региональным оператором по обращению с ТКО</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 </w:t>
            </w:r>
          </w:p>
        </w:tc>
        <w:tc>
          <w:tcPr>
            <w:tcW w:w="12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топливно-энергетического комплекса и жилищно-коммунального хозяйства Краснодарского края</w:t>
            </w:r>
          </w:p>
        </w:tc>
      </w:tr>
      <w:tr>
        <w:trPr>
          <w:trHeight w:val="1984"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11.2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информационной работы («круглых» столов, вебинаров, консультаций) с действующими региональными операторами</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обеспечение бесперебойного функционирования </w:t>
            </w:r>
            <w:r>
              <w:rPr>
                <w:sz w:val="22"/>
              </w:rPr>
              <w:t>инфраструктуры обращения с ТКО в регионе</w:t>
            </w:r>
          </w:p>
          <w:p>
            <w:pPr>
              <w:pStyle w:val="Normal"/>
              <w:spacing w:lineRule="auto" w:line="240" w:before="0" w:after="0"/>
              <w:ind w:right="-110" w:hanging="0"/>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до 31</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декабря 2025 г.</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Рынок выполнения работ по благоустройству городской среды</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Согласно Федеральному закону от 6 октября 2003 г. № 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w:t>
            </w:r>
          </w:p>
          <w:p>
            <w:pPr>
              <w:pStyle w:val="Normal"/>
              <w:spacing w:lineRule="auto" w:line="240" w:before="0" w:after="0"/>
              <w:ind w:firstLine="709"/>
              <w:rPr>
                <w:rFonts w:cs="Times New Roman"/>
                <w:sz w:val="24"/>
                <w:szCs w:val="28"/>
              </w:rPr>
            </w:pPr>
            <w:r>
              <w:rPr>
                <w:rFonts w:cs="Times New Roman"/>
                <w:sz w:val="24"/>
                <w:szCs w:val="28"/>
              </w:rPr>
              <w:t>В рамках реализации регионального проекта «</w:t>
            </w:r>
            <w:r>
              <w:rPr>
                <w:rFonts w:cs="Times New Roman"/>
                <w:bCs/>
                <w:sz w:val="24"/>
                <w:szCs w:val="28"/>
              </w:rPr>
              <w:t>Формирование комфортной городской среды» в 2020 году</w:t>
            </w:r>
            <w:r>
              <w:rPr>
                <w:rFonts w:cs="Times New Roman"/>
                <w:sz w:val="24"/>
                <w:szCs w:val="28"/>
              </w:rPr>
              <w:t xml:space="preserve"> благоустроено порядка 316 объектов в 73 органах местного самоуправления, в том числе за счет привлечения местного бюджета и внебюджетных источников – 235 общественных пространств.</w:t>
            </w:r>
            <w:r>
              <w:rPr>
                <w:rFonts w:eastAsia="Times New Roman" w:cs="Times New Roman"/>
                <w:sz w:val="24"/>
                <w:szCs w:val="28"/>
              </w:rPr>
              <w:t xml:space="preserve"> </w:t>
            </w:r>
            <w:r>
              <w:rPr>
                <w:rFonts w:cs="Times New Roman"/>
                <w:sz w:val="24"/>
                <w:szCs w:val="28"/>
              </w:rPr>
              <w:t>Общий объем средств на реализацию составил 1,9 млрд рублей.</w:t>
            </w:r>
          </w:p>
          <w:p>
            <w:pPr>
              <w:pStyle w:val="Normal"/>
              <w:spacing w:lineRule="auto" w:line="240" w:before="0" w:after="0"/>
              <w:ind w:firstLine="709"/>
              <w:rPr>
                <w:rFonts w:eastAsia="Times New Roman" w:cs="Times New Roman"/>
                <w:sz w:val="22"/>
                <w:lang w:eastAsia="ru-RU"/>
              </w:rPr>
            </w:pPr>
            <w:r>
              <w:rPr>
                <w:rFonts w:cs="Times New Roman"/>
                <w:sz w:val="24"/>
                <w:szCs w:val="28"/>
                <w:lang w:eastAsia="ru-RU" w:bidi="ru-RU"/>
              </w:rPr>
              <w:t>В настоящее время доля организаций частной формы собственности в сфере выполнения работ по благоустройству городской среды составляет 76,27 %.</w:t>
            </w:r>
          </w:p>
        </w:tc>
      </w:tr>
      <w:tr>
        <w:trPr>
          <w:trHeight w:val="863"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12.1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Привлечение на конкурсной основе подрядных организаций для проведения работ по благоустройству территорий</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равного доступа на участие в торгах субъектов предпринимательства</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выполнения работ по благоустройству городской среды,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76,27</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76,3</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76,4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76,5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76,5</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12.2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Принятие решения о приватизации неэффективных муниципальных предприятий, осуществляющих деятельность на рынке благоустройства городской среды</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снижение доли муниципального участия на рынке благоустройства городской среды путем приватизации муниципальных предприятий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муниципальных предприятий, осуществляющих деятельность на рынке благоустройства городской среды, процентов</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23,73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23,7</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23,6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23,5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23,5</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 xml:space="preserve">Рынок выполнения работ по содержанию и текущему ремонту общего имущества собственников помещений </w:t>
              <w:br/>
              <w:t>в многоквартирном доме</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uto" w:line="240" w:before="0" w:after="0"/>
              <w:ind w:firstLine="709"/>
              <w:rPr>
                <w:rFonts w:eastAsia="Times New Roman"/>
                <w:sz w:val="22"/>
              </w:rPr>
            </w:pPr>
            <w:r>
              <w:rPr>
                <w:rFonts w:eastAsia="Times New Roman"/>
                <w:sz w:val="22"/>
              </w:rPr>
              <w:t>На территории Краснодарского края расположено 23 253 многоквартирных домов (далее – МКД), из них: находятся под управлением управляющих организаций 13 571 МКД (58 % от всего многоквартирного жилого фонда), под управлением товариществом собственников жилья и (или) иным кооперативом – 1 822 МКД (8 %); под непосредственным управлением – 7 544 МКД (33 %), способ управления не выбран и не определён органом местного самоуправления на открытом конкурсе – 316 МКД (1 %).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Деятельность организаций, управляющих МКД, должна быть направлена на обеспечение безопасных, комфортных условий проживания граждан.</w:t>
            </w:r>
          </w:p>
          <w:p>
            <w:pPr>
              <w:pStyle w:val="Normal"/>
              <w:spacing w:lineRule="auto" w:line="240" w:before="0" w:after="0"/>
              <w:ind w:firstLine="709"/>
              <w:rPr>
                <w:sz w:val="22"/>
              </w:rPr>
            </w:pPr>
            <w:r>
              <w:rPr>
                <w:sz w:val="22"/>
              </w:rPr>
              <w:t xml:space="preserve">По состоянию на 1 января 2021 г. на территории Краснодарского края 723 действующих управляющих компаний.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91,36 %.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13.1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 xml:space="preserve">Проведение открытых конкурсов по отбору управляющих организаций для управления многоквартирными домами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NewRomanPSMT" w:cs="Times New Roman"/>
                <w:sz w:val="22"/>
                <w:lang w:eastAsia="ru-RU"/>
              </w:rPr>
            </w:pPr>
            <w:r>
              <w:rPr>
                <w:rFonts w:eastAsia="TimesNewRomanPSMT" w:cs="Times New Roman"/>
                <w:sz w:val="22"/>
                <w:lang w:eastAsia="ru-RU"/>
              </w:rPr>
              <w:t>обеспечение для хозяйствующих субъектов всех форм собственности равных условий деятельности на товарном рынке;</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информационно-разъяснительной работы с ответственными за организацию и проведение конкурсов работниками органов местного самоуправления</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91,36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91,4</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91,45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91,5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91,5</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13.2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Размещение в установленном порядке извещения о проведении открытого конкурса по отбору управляющей организации на официальном сайте в сети «Интернет» в течение двадцати дней со дня выдачи разрешения на ввод в эксплуатацию многоквартирного дома</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размещение информации на официальном сайте муниципального образования;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общественного контроля за соблюдением органами власти сроков объявления конкурсов по выбору управляющих организаций</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информация на официальном сайте муниципального образования,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2139"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13.3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Обеспечение безопасных, комфортных условий проживания граждан в многоквартирных домах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повышение удовлетворенности потребителей услугами управляющих компаний МКД, снижение количества обращений граждан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p>
            <w:pPr>
              <w:pStyle w:val="Normal"/>
              <w:spacing w:before="0" w:after="20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количество обращений граждан, единиц</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количество профилактических мероприятий, единиц</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28 200</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4 400</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28 077</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4 470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27 797</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4 601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27 647</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4 737</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27 507</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4 879</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lang w:eastAsia="ru-RU"/>
              </w:rPr>
            </w:pPr>
            <w:r>
              <w:rPr>
                <w:sz w:val="22"/>
                <w:lang w:eastAsia="ru-RU"/>
              </w:rPr>
              <w:t>государственная</w:t>
            </w:r>
          </w:p>
          <w:p>
            <w:pPr>
              <w:pStyle w:val="Normal"/>
              <w:spacing w:lineRule="auto" w:line="240" w:before="0" w:after="0"/>
              <w:rPr>
                <w:rFonts w:eastAsia="Times New Roman" w:cs="Times New Roman"/>
                <w:sz w:val="22"/>
                <w:highlight w:val="cyan"/>
                <w:lang w:eastAsia="ru-RU"/>
              </w:rPr>
            </w:pPr>
            <w:r>
              <w:rPr>
                <w:sz w:val="22"/>
                <w:lang w:eastAsia="ru-RU"/>
              </w:rPr>
              <w:t xml:space="preserve">жилищная инспекция Краснодарского края    </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 xml:space="preserve">Рынок поставки сжиженного газа в баллонах </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cs="Times New Roman"/>
                <w:sz w:val="22"/>
                <w:lang w:eastAsia="ru-RU" w:bidi="ru-RU"/>
              </w:rPr>
            </w:pPr>
            <w:r>
              <w:rPr>
                <w:rFonts w:eastAsia="Times New Roman" w:cs="Times New Roman"/>
                <w:sz w:val="22"/>
                <w:lang w:eastAsia="ru-RU"/>
              </w:rPr>
              <w:t xml:space="preserve">Потребление сжиженного углеводородного газа снижается, что связано с реализацией на территории Краснодарского края программы газификации природным газом. </w:t>
            </w:r>
            <w:r>
              <w:rPr>
                <w:rFonts w:cs="Times New Roman"/>
                <w:sz w:val="22"/>
                <w:lang w:eastAsia="ru-RU" w:bidi="ru-RU"/>
              </w:rPr>
              <w:t xml:space="preserve">Общий уровень газификации Кубани </w:t>
            </w:r>
            <w:r>
              <w:rPr>
                <w:rFonts w:cs="Times New Roman"/>
                <w:sz w:val="22"/>
              </w:rPr>
              <w:t xml:space="preserve">достиг 83,2 </w:t>
            </w:r>
            <w:r>
              <w:rPr>
                <w:rFonts w:cs="Times New Roman"/>
                <w:sz w:val="22"/>
                <w:lang w:eastAsia="ru-RU" w:bidi="ru-RU"/>
              </w:rPr>
              <w:t xml:space="preserve">%, что значительно выше среднероссийского показателя – 70,1 %. </w:t>
            </w:r>
            <w:r>
              <w:rPr>
                <w:rFonts w:cs="Times New Roman"/>
                <w:sz w:val="22"/>
              </w:rPr>
              <w:t>Населенные пункты, в которые не проведен газ, расположены либо в горной местности, либо на значительном удалении от административных центров. При этом к 2030 году уровень газификации должен быть стопроцентным.</w:t>
            </w:r>
          </w:p>
          <w:p>
            <w:pPr>
              <w:pStyle w:val="Normal"/>
              <w:spacing w:lineRule="auto" w:line="240" w:before="0" w:after="0"/>
              <w:ind w:firstLine="709"/>
              <w:rPr>
                <w:rFonts w:eastAsia="Times New Roman" w:cs="Times New Roman"/>
                <w:sz w:val="22"/>
                <w:lang w:eastAsia="ru-RU"/>
              </w:rPr>
            </w:pPr>
            <w:r>
              <w:rPr>
                <w:rFonts w:cs="Times New Roman"/>
                <w:sz w:val="22"/>
              </w:rPr>
              <w:t>Инвестиционная программа ПАО «Газпром», которая была подписана российской транснациональной энергетической компанией и администрацией Краснодарского края в 2020 году, рассчитана на период 2021 – 2025 годов. Предусматривается строительство или реконструкция магистральных газопроводов, газораспределительных станций и межпоселковых газопроводов высокого давления.</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 таким образом, доля организаций частной формы собственности в сфере поставки сжиженного газа в баллонах составляет 100 %.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14.1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Ежегодный анализ данных об объемах потребления сжиженного газа населением и о реализации сжиженного газа населению газораспределительной организацией, уполномоченной на поставку сжиженного газа</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формирование данных о потреблении сжиженного газа населением и реализации (продаже) объемов сжиженного газа населению газораспределительной организацией для бытовых нужд;</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размещение информации на официальном сайте муниципального образования</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поставки сжиженного газа в баллонах,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rPr>
                <w:rFonts w:eastAsia="Times New Roman" w:cs="Times New Roman"/>
                <w:color w:val="000000"/>
                <w:sz w:val="22"/>
                <w:lang w:eastAsia="ru-RU"/>
              </w:rPr>
            </w:pPr>
            <w:r>
              <w:rPr>
                <w:rFonts w:eastAsia="Times New Roman" w:cs="Times New Roman"/>
                <w:color w:val="000000"/>
                <w:sz w:val="22"/>
                <w:lang w:eastAsia="ru-RU"/>
              </w:rPr>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Рынок оказания услуг по перевозке пассажиров автомобильным транспортом по муниципальным маршрутам регулярных перевозок</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Calibri" w:cs="Times New Roman"/>
                <w:sz w:val="22"/>
                <w:lang w:eastAsia="ru-RU"/>
              </w:rPr>
            </w:pPr>
            <w:r>
              <w:rPr>
                <w:rFonts w:eastAsia="Calibri" w:cs="Times New Roman"/>
                <w:sz w:val="22"/>
                <w:lang w:eastAsia="ru-RU"/>
              </w:rPr>
              <w:t xml:space="preserve">Органы местного самоуправления согласно Федеральному закону от 6 октября 2003 г. № 131-ФЗ «Об общих принципах организации местного самоуправления в Российской Федерации»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Краснодарском крае составляет 98,6 %.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Барьером, затрудняющим предпринимательскую деятельность на данном рынке, является недобросовестная конкуренция, связанная с деятельностью перевозчиков с нарушением действующего законодательства в сфере перевозок пассажиров</w:t>
            </w:r>
          </w:p>
        </w:tc>
      </w:tr>
      <w:tr>
        <w:trPr>
          <w:trHeight w:val="580"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15.1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pPr>
              <w:pStyle w:val="Normal"/>
              <w:widowControl w:val="false"/>
              <w:spacing w:lineRule="auto" w:line="240" w:before="0" w:after="0"/>
              <w:rPr>
                <w:rFonts w:eastAsia="Times New Roman" w:cs="Times New Roman"/>
                <w:b/>
                <w:b/>
                <w:sz w:val="22"/>
                <w:lang w:eastAsia="ru-RU"/>
              </w:rPr>
            </w:pPr>
            <w:r>
              <w:rPr>
                <w:rFonts w:eastAsia="Times New Roman" w:cs="Times New Roman"/>
                <w:b/>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мониторинг пассажиропотока и потребностей региона в корректировке существующей маршрутной сети и её оптимизация;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widowControl w:val="false"/>
              <w:spacing w:lineRule="auto" w:line="240" w:before="0" w:after="0"/>
              <w:rPr>
                <w:rFonts w:eastAsia="Times New Roman" w:cs="Times New Roman"/>
                <w:b/>
                <w:b/>
                <w:sz w:val="22"/>
                <w:lang w:eastAsia="ru-RU"/>
              </w:rPr>
            </w:pPr>
            <w:r>
              <w:rPr>
                <w:rFonts w:eastAsia="Times New Roman" w:cs="Times New Roman"/>
                <w:sz w:val="22"/>
                <w:lang w:eastAsia="ru-RU"/>
              </w:rPr>
              <w:t>разработка документа планирования регулярных перевозок с учетом полученной информации по результатам мониторинга</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98,6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98,6</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98,7</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99</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99</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15.2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left"/>
              <w:rPr>
                <w:rFonts w:eastAsia="Times New Roman" w:cs="Times New Roman"/>
                <w:sz w:val="22"/>
                <w:lang w:eastAsia="ru-RU"/>
              </w:rPr>
            </w:pPr>
            <w:r>
              <w:rPr>
                <w:rFonts w:eastAsia="Times New Roman" w:cs="Times New Roman"/>
                <w:sz w:val="22"/>
                <w:lang w:eastAsia="ru-RU"/>
              </w:rPr>
              <w:t>Информационное взаимодействие с заинтересованными организациями и уполномоченными контрольно-надзорными органами в сфере перевозок пассажиров автомобильным транспортом по муниципальным маршрутам</w:t>
              <w:br/>
              <w:t xml:space="preserve">регулярных перевозок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разработка и реализация комплекса мер, направленных на недопущение нарушений в сфере перевозок пассажиров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по муниципальным маршрутам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проведение мероприятий, представление информации в уполномоченный орган,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1714"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15.3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Разработка новой транспортной модели организации пассажирских перевозок на территории Краснодарского края, а также её поэтапное внедрение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оптимизация действующей маршрутной сети на </w:t>
              <w:br/>
              <w:t xml:space="preserve">территории Краснодарского края,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качества услуг по перевозке пассажиров</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создание комфортных условий для пассажиров и перевозчиков</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до 31</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декабря 2022 г.</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формирование условий для поэтапного перехода пассажирских  перевозок по регулируемым тарифам в отдельных муниципальных образованиях Краснодарского края, наличие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0</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highlight w:val="yellow"/>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 xml:space="preserve">Рынок оказания услуг по перевозке пассажиров автомобильным транспортом по межмуниципальным маршрутам </w:t>
              <w:br/>
              <w:t>регулярных перевозок</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cs="Times New Roman"/>
                <w:sz w:val="22"/>
              </w:rPr>
            </w:pPr>
            <w:r>
              <w:rPr>
                <w:rFonts w:cs="Times New Roman"/>
                <w:sz w:val="22"/>
              </w:rPr>
              <w:t>По итогам 2020 года маршрутная сеть Краснодарского края включает 141 межмуниципальный автобусный маршрут регулярных перевозок (74 – пригородных и 67 – междугородных), обслуживаемых 62 перевозчиками (30 организаций, 24 индивидуальных предпринимателя и 8 объединений перевозчиков в форме простых товариществ).</w:t>
            </w:r>
          </w:p>
          <w:p>
            <w:pPr>
              <w:pStyle w:val="Normal"/>
              <w:spacing w:lineRule="auto" w:line="240" w:before="0" w:after="0"/>
              <w:ind w:firstLine="731"/>
              <w:jc w:val="left"/>
              <w:rPr>
                <w:rFonts w:eastAsia="Times New Roman" w:cs="Times New Roman"/>
                <w:sz w:val="22"/>
                <w:lang w:eastAsia="ru-RU"/>
              </w:rPr>
            </w:pPr>
            <w:r>
              <w:rPr>
                <w:rFonts w:eastAsia="Times New Roman" w:cs="Times New Roman"/>
                <w:sz w:val="22"/>
                <w:lang w:eastAsia="ru-RU"/>
              </w:rPr>
              <w:t xml:space="preserve">В связи с тем, что пассажирский автомобильный транспорт в первую очередь должен выполнять социальную функцию, деятельность предприятий автомобильного пассажирского транспорта является низкорентабельной, а чаще всего убыточной.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Одним из факторов, оказывающих негативное влияние на развитие предпринимательства в сфере транспортных услуг на территории Краснодарского края, является перевозка пассажиров лицами, осуществляющим перевозки с нарушениями действующего законодательства.</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Непринятие надлежащих мер к лицам, осуществляющим такие перевозки пассажиров и багажа, приводит к 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Проблемным аспектом является также вопрос необходимости обновления подвижного состава на предприятиях автомобильного пассажирского транспорта</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16.1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Развитие рынка услуг по перевозке пассажиров автомобильным транспортом по межмуниципальным маршрутам регулярных перевозок </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увеличение количества</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перевозчиков</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негосудартвенных форм</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собственности;</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наличие сети регулярных маршрутов;</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контроль за выполнением пассажирских перевозок, повышение эффективности обслуживания;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ежеквартальное проведение мониторинга</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2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86,5</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highlight w:val="yellow"/>
                <w:lang w:eastAsia="ru-RU"/>
              </w:rPr>
            </w:pPr>
            <w:r>
              <w:rPr>
                <w:rFonts w:eastAsia="Times New Roman" w:cs="Times New Roman"/>
                <w:sz w:val="22"/>
                <w:lang w:eastAsia="ru-RU"/>
              </w:rPr>
              <w:t>90</w:t>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92</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93</w:t>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95</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транспорта и дорожного хозяйства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16.2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Привлечение на рынок перевозчиков, осуществляющих обновление подвижного состава на предприятии</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16.3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мониторинг пассажиропотока и потребностей региона в корректировке существующей маршрутной сети и её оптимизация;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разработка документа планирования регулярных перевозок с учетом полученной информации по результатам мониторинга</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tabs>
                <w:tab w:val="clear" w:pos="708"/>
                <w:tab w:val="left" w:pos="3645" w:leader="none"/>
                <w:tab w:val="center" w:pos="7172" w:leader="none"/>
              </w:tabs>
              <w:spacing w:lineRule="auto" w:line="240" w:before="0" w:after="0"/>
              <w:contextualSpacing/>
              <w:jc w:val="center"/>
              <w:rPr>
                <w:rFonts w:eastAsia="Times New Roman" w:cs="Times New Roman"/>
                <w:color w:val="FF0000"/>
                <w:sz w:val="22"/>
                <w:lang w:eastAsia="ru-RU"/>
              </w:rPr>
            </w:pPr>
            <w:r>
              <w:rPr>
                <w:rFonts w:eastAsia="Times New Roman" w:cs="Times New Roman"/>
                <w:sz w:val="22"/>
                <w:lang w:eastAsia="ru-RU"/>
              </w:rPr>
              <w:t>Рынок оказания услуг по перевозке пассажиров и багажа легковым такси на территории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Calibri" w:cs="Times New Roman"/>
                <w:sz w:val="22"/>
              </w:rPr>
            </w:pPr>
            <w:r>
              <w:rPr>
                <w:rFonts w:eastAsia="Calibri" w:cs="Times New Roman"/>
                <w:sz w:val="22"/>
              </w:rPr>
              <w:t>На территории Краснодарского края по состоянию на 1 января 2021 г. осуществляли деятельность 300 юридических лиц и 1916 индивидуальных предпринимателей, получивших разрешение на осуществление деятельности по перевозке пассажиров и багажа легковыми такси на территории Краснодарского края.</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Одним из факторов, оказывающих негативное влияние на развитие предпринимательства в сфере транспортных услуг на территории Краснодарского края, является перевозка пассажиров и багажа лицами, осуществляющими перевозки пассажиров и багажа с нарушениями действующего законодательства в сфере перевозок.</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Непринятие надлежащих мер к хозяйствующим субъектам, осуществляющим такие перевозки пассажиров и багажа, приводит к 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17.1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безопасности дорожного движения, улучшение качества транспортного обслуживания населения и недопущение создания условий для недобросовестной конкуренции</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удовлетворенности потребителей в оказании услуг по перевозкам пассажиров и багажа легковым такси;</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разработка и реализация комплекса мер, направленных на недопущение нарушений в сфере перевозок пассажиров и багажа легковым такси;</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ежеквартальное проведение мониторинга</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val="en-US" w:eastAsia="ru-RU"/>
              </w:rPr>
            </w:pPr>
            <w:r>
              <w:rPr>
                <w:rFonts w:eastAsia="Times New Roman" w:cs="Times New Roman"/>
                <w:sz w:val="22"/>
                <w:lang w:eastAsia="ru-RU"/>
              </w:rPr>
              <w:t>20</w:t>
            </w:r>
            <w:r>
              <w:rPr>
                <w:rFonts w:eastAsia="Times New Roman" w:cs="Times New Roman"/>
                <w:sz w:val="22"/>
                <w:lang w:val="en-US" w:eastAsia="ru-RU"/>
              </w:rPr>
              <w:t>22</w:t>
            </w:r>
            <w:r>
              <w:rPr>
                <w:rFonts w:eastAsia="Times New Roman" w:cs="Times New Roman"/>
                <w:sz w:val="22"/>
                <w:lang w:eastAsia="ru-RU"/>
              </w:rPr>
              <w:t xml:space="preserve"> – 202</w:t>
            </w:r>
            <w:r>
              <w:rPr>
                <w:rFonts w:eastAsia="Times New Roman" w:cs="Times New Roman"/>
                <w:sz w:val="22"/>
                <w:lang w:val="en-US" w:eastAsia="ru-RU"/>
              </w:rPr>
              <w:t>5</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доля организаций частной формы собственности в сфере оказания услуг по перевозке пассажиров и багажа легковым такси на территории Краснодарского края, процентов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транспорта и дорожного хозяйства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17.2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 xml:space="preserve">Информационное взаимодействие с заинтересованными организациями и уполномоченными контрольно-надзорными органами в сфере легковых таксомоторных перевозок </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ind w:left="22" w:hanging="0"/>
              <w:contextualSpacing/>
              <w:jc w:val="center"/>
              <w:rPr>
                <w:rFonts w:eastAsia="Times New Roman" w:cs="Times New Roman"/>
                <w:color w:val="FF0000"/>
                <w:sz w:val="22"/>
                <w:lang w:eastAsia="ru-RU"/>
              </w:rPr>
            </w:pPr>
            <w:r>
              <w:rPr>
                <w:rFonts w:eastAsia="Times New Roman" w:cs="Times New Roman"/>
                <w:sz w:val="22"/>
                <w:lang w:eastAsia="ru-RU"/>
              </w:rPr>
              <w:t>Рынок услуг связи, в том числе услуг по предоставлению широкополосного доступа к информационно-телекоммуникационной сети «Интернет»</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43"/>
              <w:rPr>
                <w:sz w:val="22"/>
              </w:rPr>
            </w:pPr>
            <w:r>
              <w:rPr>
                <w:sz w:val="22"/>
              </w:rPr>
              <w:t xml:space="preserve">В рамках реализации государственной политики в области связи и развития телекоммуникаций проводится планомерная и целенаправленная работа по созданию необходимых правовых и экономических условий, обеспечивающих устойчивое функционирование и развитие отрасли связь (включая сети связи общего пользования), для обеспечения населения и гостей Краснодарского края услугами связи и современными информационными сервисами, а также для развития цифровой экономики в целом по региону. </w:t>
            </w:r>
          </w:p>
          <w:p>
            <w:pPr>
              <w:pStyle w:val="Normal"/>
              <w:spacing w:lineRule="auto" w:line="240" w:before="0" w:after="0"/>
              <w:ind w:firstLine="743"/>
              <w:rPr>
                <w:sz w:val="22"/>
              </w:rPr>
            </w:pPr>
            <w:r>
              <w:rPr>
                <w:sz w:val="22"/>
              </w:rPr>
              <w:t xml:space="preserve">В настоящее время на территории Краснодарского края услуги мобильной связи предоставляют четыре крупных оператора. </w:t>
            </w:r>
          </w:p>
          <w:p>
            <w:pPr>
              <w:pStyle w:val="Normal"/>
              <w:spacing w:lineRule="auto" w:line="240" w:before="0" w:after="0"/>
              <w:ind w:firstLine="743"/>
              <w:rPr>
                <w:sz w:val="22"/>
              </w:rPr>
            </w:pPr>
            <w:r>
              <w:rPr>
                <w:sz w:val="22"/>
              </w:rPr>
              <w:t xml:space="preserve">Между администрацией Краснодарского края и операторами сотовой связи заключены соглашения, в рамках реализации которых операторы осуществляют инвестиции в: </w:t>
            </w:r>
          </w:p>
          <w:p>
            <w:pPr>
              <w:pStyle w:val="Normal"/>
              <w:spacing w:lineRule="auto" w:line="240" w:before="0" w:after="0"/>
              <w:ind w:firstLine="743"/>
              <w:rPr>
                <w:sz w:val="22"/>
              </w:rPr>
            </w:pPr>
            <w:r>
              <w:rPr>
                <w:sz w:val="22"/>
              </w:rPr>
              <w:t xml:space="preserve">обеспечение и развитие сетей связи стандартов GSM-900/1800, IMT- 2000/UMTS и LTE (4G); </w:t>
            </w:r>
          </w:p>
          <w:p>
            <w:pPr>
              <w:pStyle w:val="Normal"/>
              <w:spacing w:lineRule="auto" w:line="240" w:before="0" w:after="0"/>
              <w:ind w:firstLine="743"/>
              <w:rPr>
                <w:sz w:val="22"/>
              </w:rPr>
            </w:pPr>
            <w:r>
              <w:rPr>
                <w:sz w:val="22"/>
              </w:rPr>
              <w:t xml:space="preserve">обеспечение зоны покрытия сетей сотовой связи на территории социально значимых объектов; </w:t>
            </w:r>
          </w:p>
          <w:p>
            <w:pPr>
              <w:pStyle w:val="Normal"/>
              <w:spacing w:lineRule="auto" w:line="240" w:before="0" w:after="0"/>
              <w:ind w:firstLine="743"/>
              <w:rPr>
                <w:sz w:val="22"/>
              </w:rPr>
            </w:pPr>
            <w:r>
              <w:rPr>
                <w:sz w:val="22"/>
              </w:rPr>
              <w:t xml:space="preserve">модернизацию существующих сетей связи; внедрение новых дополнительных сервисов и услуг. </w:t>
            </w:r>
          </w:p>
          <w:p>
            <w:pPr>
              <w:pStyle w:val="Normal"/>
              <w:spacing w:lineRule="auto" w:line="240" w:before="0" w:after="0"/>
              <w:ind w:firstLine="743"/>
              <w:rPr>
                <w:sz w:val="22"/>
              </w:rPr>
            </w:pPr>
            <w:r>
              <w:rPr>
                <w:sz w:val="22"/>
              </w:rPr>
              <w:t xml:space="preserve">Основную долю услуг на рынке оказания фиксированной связи занимает Краснодарский филиал ПАО «Ростелеком». </w:t>
            </w:r>
          </w:p>
          <w:p>
            <w:pPr>
              <w:pStyle w:val="Normal"/>
              <w:spacing w:lineRule="auto" w:line="240" w:before="0" w:after="0"/>
              <w:ind w:firstLine="743"/>
              <w:rPr>
                <w:sz w:val="22"/>
              </w:rPr>
            </w:pPr>
            <w:r>
              <w:rPr>
                <w:sz w:val="22"/>
              </w:rPr>
              <w:t xml:space="preserve">В рамках проекта «Устранение цифрового неравенства» до 2024 года должно быть выполнено строительство волоконно-оптических линий связи (ВОЛС) и установка точек доступа в 289 малых населенных пунктах Краснодарского края. </w:t>
            </w:r>
          </w:p>
          <w:p>
            <w:pPr>
              <w:pStyle w:val="Normal"/>
              <w:shd w:val="clear" w:color="auto" w:fill="FDFDFD"/>
              <w:spacing w:lineRule="auto" w:line="240" w:before="0" w:after="0"/>
              <w:ind w:firstLine="708"/>
              <w:textAlignment w:val="baseline"/>
              <w:rPr>
                <w:sz w:val="22"/>
              </w:rPr>
            </w:pPr>
            <w:r>
              <w:rPr>
                <w:sz w:val="22"/>
              </w:rPr>
              <w:t>Указом Президента Российской Федерации от 21 июля 2020 г. № 474 «О национальных целях развития Российской Федерации на период до 2030 года» определена национальная цель развития Российской Федерации – «Цифровая трансформация». Целевыми показателями «Цифровой трансформации» определены в том числе: 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 увеличение доли массовых социально значимых услуг, доступных в электронном виде, до 95 процентов.</w:t>
            </w:r>
          </w:p>
          <w:p>
            <w:pPr>
              <w:pStyle w:val="Normal"/>
              <w:shd w:val="clear" w:color="auto" w:fill="FDFDFD"/>
              <w:spacing w:lineRule="auto" w:line="240" w:before="0" w:after="0"/>
              <w:ind w:firstLine="709"/>
              <w:textAlignment w:val="baseline"/>
              <w:rPr>
                <w:sz w:val="22"/>
              </w:rPr>
            </w:pPr>
            <w:r>
              <w:rPr>
                <w:sz w:val="22"/>
              </w:rPr>
              <w:t>Ключевым значением в достижении показателя «доля электронного юридически значимого документооборота между органами исполнительной власти и подведомственными им учреждениями в субъекте Российской Федерации» является функционирующая с 2018 года государственная информационная система Краснодарского края «Единая межведомственная система электронного документооборота исполнительных органов государственной власти Краснодарского края», насчитывающая в настоящий момент порядка 10 тыс. пользователей.</w:t>
            </w:r>
          </w:p>
          <w:p>
            <w:pPr>
              <w:pStyle w:val="Normal"/>
              <w:shd w:val="clear" w:color="auto" w:fill="FDFDFD"/>
              <w:spacing w:lineRule="auto" w:line="240" w:before="0" w:after="0"/>
              <w:ind w:firstLine="709"/>
              <w:textAlignment w:val="baseline"/>
              <w:rPr>
                <w:sz w:val="22"/>
              </w:rPr>
            </w:pPr>
            <w:r>
              <w:rPr>
                <w:sz w:val="22"/>
              </w:rPr>
              <w:t>В рамках достижения показателя «доля массовых социально значимых государственных и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услуг, предоставляемых в электронном виде» приказом департамента информатизации и связи Краснодарского края от 13 июля 2021 г. № 127 во исполнение пункта 7 поручений заместителя Председателя Правительства Российской Федерации Чернышенко Д.Н. от 23 июля 2021 г. ДЧ-П10-9941, утвержден Перечень массовых социально значимых государственных услуг и муниципальных услуг, подлежащих переводу в электронный формат.</w:t>
            </w:r>
          </w:p>
          <w:p>
            <w:pPr>
              <w:pStyle w:val="Normal"/>
              <w:spacing w:lineRule="auto" w:line="240" w:before="0" w:after="0"/>
              <w:ind w:firstLine="743"/>
              <w:rPr>
                <w:sz w:val="22"/>
              </w:rPr>
            </w:pPr>
            <w:r>
              <w:rPr>
                <w:sz w:val="22"/>
              </w:rPr>
            </w:r>
          </w:p>
        </w:tc>
      </w:tr>
      <w:tr>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18.1</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ind w:right="-31" w:hanging="0"/>
              <w:rPr>
                <w:rFonts w:eastAsia="Times New Roman" w:cs="Times New Roman"/>
                <w:sz w:val="22"/>
                <w:lang w:eastAsia="ru-RU"/>
              </w:rPr>
            </w:pPr>
            <w:r>
              <w:rPr>
                <w:rFonts w:eastAsia="Times New Roman" w:cs="Times New Roman"/>
                <w:sz w:val="22"/>
                <w:lang w:eastAsia="ru-RU"/>
              </w:rPr>
              <w:t>Создание условий для развития конкуренции на рынке услуг широкополосного доступа в информационно-телекоммуникационную сеть «Интернет»</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обеспечение доступа операторов связи к объектам, находящимся в государственной и муниципальной собственности, для размещения сетей связи </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right="-31" w:hanging="0"/>
              <w:rPr>
                <w:rFonts w:eastAsia="Times New Roman" w:cs="Times New Roman"/>
                <w:sz w:val="22"/>
                <w:lang w:eastAsia="ru-RU"/>
              </w:rPr>
            </w:pPr>
            <w:r>
              <w:rPr>
                <w:rFonts w:eastAsia="Times New Roman" w:cs="Times New Roman"/>
                <w:sz w:val="22"/>
                <w:lang w:eastAsia="ru-RU"/>
              </w:rPr>
              <w:t>увеличение количества объектов государственной и муниципальной формы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ind w:right="-31" w:hanging="0"/>
              <w:jc w:val="center"/>
              <w:rPr>
                <w:rFonts w:eastAsia="Times New Roman" w:cs="Times New Roman"/>
                <w:sz w:val="22"/>
                <w:highlight w:val="yellow"/>
                <w:lang w:eastAsia="ru-RU"/>
              </w:rPr>
            </w:pPr>
            <w:r>
              <w:rPr>
                <w:rFonts w:eastAsia="Times New Roman" w:cs="Times New Roman"/>
                <w:sz w:val="22"/>
                <w:lang w:eastAsia="ru-RU"/>
              </w:rPr>
              <w:t>15</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20</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20</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20</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информатизации и связи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jc w:val="center"/>
              <w:rPr>
                <w:rFonts w:eastAsia="Times New Roman" w:cs="Times New Roman"/>
                <w:sz w:val="22"/>
                <w:lang w:val="en-US" w:eastAsia="ru-RU"/>
              </w:rPr>
            </w:pPr>
            <w:r>
              <w:rPr>
                <w:rFonts w:eastAsia="Times New Roman" w:cs="Times New Roman"/>
                <w:sz w:val="22"/>
                <w:lang w:val="en-US"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jc w:val="center"/>
              <w:rPr>
                <w:rFonts w:eastAsia="Times New Roman" w:cs="Times New Roman"/>
                <w:sz w:val="22"/>
                <w:lang w:val="en-US" w:eastAsia="ru-RU"/>
              </w:rPr>
            </w:pPr>
            <w:r>
              <w:rPr>
                <w:rFonts w:eastAsia="Times New Roman" w:cs="Times New Roman"/>
                <w:sz w:val="22"/>
                <w:lang w:val="en-US"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t>100</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18.2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Включение унитарных предприятий в план- график по реорганизации/ликвидации унитарных предприятий;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проведение анализа деятельности предприятий, инвентаризация имущества, определение затрат на реорганизацию\ликвидацию включение предприятий в программу приватизации </w:t>
            </w:r>
          </w:p>
          <w:p>
            <w:pPr>
              <w:pStyle w:val="Normal"/>
              <w:keepLines/>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повышение </w:t>
              <w:br/>
              <w:t xml:space="preserve">эффективности деятельности унитарных предприятий; устранение </w:t>
              <w:br/>
              <w:t xml:space="preserve">барьеров, ограничивающих конкуренцию </w:t>
            </w:r>
          </w:p>
          <w:p>
            <w:pPr>
              <w:pStyle w:val="Normal"/>
              <w:keepLines/>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08" w:hanging="0"/>
              <w:jc w:val="center"/>
              <w:rPr>
                <w:rFonts w:eastAsia="Times New Roman" w:cs="Times New Roman"/>
                <w:sz w:val="22"/>
                <w:lang w:eastAsia="ru-RU"/>
              </w:rPr>
            </w:pPr>
            <w:r>
              <w:rPr>
                <w:rFonts w:eastAsia="Times New Roman" w:cs="Times New Roman"/>
                <w:sz w:val="22"/>
                <w:lang w:eastAsia="ru-RU"/>
              </w:rPr>
              <w:t>до 31</w:t>
            </w:r>
          </w:p>
          <w:p>
            <w:pPr>
              <w:pStyle w:val="Normal"/>
              <w:widowControl w:val="false"/>
              <w:spacing w:lineRule="auto" w:line="240" w:before="0" w:after="0"/>
              <w:ind w:left="-108" w:hanging="0"/>
              <w:jc w:val="center"/>
              <w:rPr>
                <w:rFonts w:eastAsia="Times New Roman" w:cs="Times New Roman"/>
                <w:sz w:val="22"/>
                <w:lang w:eastAsia="ru-RU"/>
              </w:rPr>
            </w:pPr>
            <w:r>
              <w:rPr>
                <w:rFonts w:eastAsia="Times New Roman" w:cs="Times New Roman"/>
                <w:sz w:val="22"/>
                <w:lang w:eastAsia="ru-RU"/>
              </w:rPr>
              <w:t>декабря 2025 г.</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количество государственных предприятий в сфере информационных технологий, в том числе на рынках программного обеспечения, программно- аппаратных комплексов (разработка, поддержка, развитие, внедрение, предоставление доступа, обеспечение функционирования), единиц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департамент информатизации и связи </w:t>
            </w:r>
            <w:r>
              <w:rPr>
                <w:rFonts w:cs="Times New Roman"/>
                <w:sz w:val="22"/>
              </w:rPr>
              <w:t>Краснодарского края</w:t>
            </w:r>
          </w:p>
        </w:tc>
      </w:tr>
      <w:tr>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18.3</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sz w:val="22"/>
                <w:szCs w:val="28"/>
              </w:rPr>
              <w:t>Достижение «цифровой зрелости» государственного управления</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реализация мероприятий, направленных на реализацию национальной цели «Цифровая трансформация»</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08" w:hanging="0"/>
              <w:jc w:val="center"/>
              <w:rPr>
                <w:rFonts w:eastAsia="Times New Roman" w:cs="Times New Roman"/>
                <w:sz w:val="22"/>
                <w:lang w:eastAsia="ru-RU"/>
              </w:rPr>
            </w:pPr>
            <w:r>
              <w:rPr>
                <w:rFonts w:eastAsia="Times New Roman" w:cs="Times New Roman"/>
                <w:sz w:val="22"/>
                <w:lang w:eastAsia="ru-RU"/>
              </w:rPr>
              <w:t>до 31</w:t>
            </w:r>
          </w:p>
          <w:p>
            <w:pPr>
              <w:pStyle w:val="Normal"/>
              <w:widowControl w:val="false"/>
              <w:spacing w:lineRule="auto" w:line="240" w:before="0" w:after="0"/>
              <w:ind w:left="-108" w:hanging="0"/>
              <w:jc w:val="center"/>
              <w:rPr>
                <w:rFonts w:eastAsia="Times New Roman" w:cs="Times New Roman"/>
                <w:sz w:val="22"/>
                <w:lang w:eastAsia="ru-RU"/>
              </w:rPr>
            </w:pPr>
            <w:r>
              <w:rPr>
                <w:rFonts w:eastAsia="Times New Roman" w:cs="Times New Roman"/>
                <w:sz w:val="22"/>
                <w:lang w:eastAsia="ru-RU"/>
              </w:rPr>
              <w:t>декабря 2025 г</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доля массовых социально значимых государственных и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услуг, предоставляемых в электронном виде, процентов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jc w:val="center"/>
              <w:rPr>
                <w:rFonts w:eastAsia="Times New Roman" w:cs="Times New Roman"/>
                <w:sz w:val="22"/>
                <w:lang w:val="en-US" w:eastAsia="ru-RU"/>
              </w:rPr>
            </w:pPr>
            <w:r>
              <w:rPr>
                <w:rFonts w:eastAsia="Times New Roman" w:cs="Times New Roman"/>
                <w:sz w:val="22"/>
                <w:lang w:val="en-US" w:eastAsia="ru-RU"/>
              </w:rPr>
              <w:t>11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jc w:val="center"/>
              <w:rPr>
                <w:rFonts w:eastAsia="Times New Roman" w:cs="Times New Roman"/>
                <w:sz w:val="22"/>
                <w:lang w:val="en-US" w:eastAsia="ru-RU"/>
              </w:rPr>
            </w:pPr>
            <w:r>
              <w:rPr>
                <w:rFonts w:eastAsia="Times New Roman" w:cs="Times New Roman"/>
                <w:sz w:val="22"/>
                <w:lang w:val="en-US" w:eastAsia="ru-RU"/>
              </w:rPr>
              <w:t>18</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t>25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t>32</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39</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департамент информатизации и связи </w:t>
            </w:r>
            <w:r>
              <w:rPr>
                <w:rFonts w:cs="Times New Roman"/>
                <w:sz w:val="22"/>
              </w:rPr>
              <w:t>Краснодарского края</w:t>
            </w:r>
          </w:p>
        </w:tc>
      </w:tr>
      <w:tr>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ind w:left="-113"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highlight w:val="cyan"/>
                <w:lang w:eastAsia="ru-RU"/>
              </w:rPr>
            </w:pPr>
            <w:r>
              <w:rPr>
                <w:rFonts w:eastAsia="Times New Roman" w:cs="Times New Roman"/>
                <w:sz w:val="22"/>
                <w:highlight w:val="cyan"/>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szCs w:val="28"/>
                <w:highlight w:val="cyan"/>
              </w:rPr>
            </w:pPr>
            <w:r>
              <w:rPr>
                <w:sz w:val="22"/>
                <w:szCs w:val="28"/>
                <w:highlight w:val="cyan"/>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08" w:hanging="0"/>
              <w:jc w:val="center"/>
              <w:rPr>
                <w:rFonts w:eastAsia="Times New Roman" w:cs="Times New Roman"/>
                <w:sz w:val="22"/>
                <w:highlight w:val="cyan"/>
                <w:lang w:eastAsia="ru-RU"/>
              </w:rPr>
            </w:pPr>
            <w:r>
              <w:rPr>
                <w:rFonts w:eastAsia="Times New Roman" w:cs="Times New Roman"/>
                <w:sz w:val="22"/>
                <w:highlight w:val="cyan"/>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электронного юридически значимого документооборота между органами исполнительной власти Краснодарского края, подведомственными им учреждениями,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jc w:val="center"/>
              <w:rPr>
                <w:rFonts w:eastAsia="Times New Roman" w:cs="Times New Roman"/>
                <w:sz w:val="22"/>
                <w:lang w:val="en-US" w:eastAsia="ru-RU"/>
              </w:rPr>
            </w:pPr>
            <w:r>
              <w:rPr>
                <w:rFonts w:eastAsia="Times New Roman" w:cs="Times New Roman"/>
                <w:sz w:val="22"/>
                <w:lang w:val="en-US" w:eastAsia="ru-RU"/>
              </w:rPr>
              <w:t>11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keepLines/>
              <w:spacing w:lineRule="auto" w:line="240" w:before="0" w:after="0"/>
              <w:jc w:val="center"/>
              <w:rPr>
                <w:rFonts w:eastAsia="Times New Roman" w:cs="Times New Roman"/>
                <w:sz w:val="22"/>
                <w:lang w:val="en-US" w:eastAsia="ru-RU"/>
              </w:rPr>
            </w:pPr>
            <w:r>
              <w:rPr>
                <w:rFonts w:eastAsia="Times New Roman" w:cs="Times New Roman"/>
                <w:sz w:val="22"/>
                <w:lang w:val="en-US" w:eastAsia="ru-RU"/>
              </w:rPr>
              <w:t>18</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t>25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t>32</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39</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highlight w:val="cyan"/>
                <w:lang w:eastAsia="ru-RU"/>
              </w:rPr>
            </w:pPr>
            <w:r>
              <w:rPr>
                <w:rFonts w:eastAsia="Times New Roman" w:cs="Times New Roman"/>
                <w:sz w:val="22"/>
                <w:highlight w:val="cyan"/>
                <w:lang w:eastAsia="ru-RU"/>
              </w:rPr>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contextualSpacing/>
              <w:jc w:val="center"/>
              <w:rPr>
                <w:rFonts w:eastAsia="Times New Roman" w:cs="Times New Roman"/>
                <w:color w:val="FF0000"/>
                <w:sz w:val="22"/>
                <w:lang w:eastAsia="ru-RU"/>
              </w:rPr>
            </w:pPr>
            <w:r>
              <w:rPr>
                <w:rFonts w:eastAsia="Times New Roman" w:cs="Times New Roman"/>
                <w:sz w:val="22"/>
                <w:lang w:eastAsia="ru-RU"/>
              </w:rPr>
              <w:t xml:space="preserve">Рынок жилищного строительства (за исключением Московского фонда реновации жилой застройки и индивидуального </w:t>
              <w:br/>
              <w:t>жилищного строительства)</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Times New Roman" w:cs="Times New Roman"/>
                <w:iCs/>
                <w:sz w:val="22"/>
                <w:lang w:eastAsia="ru-RU"/>
              </w:rPr>
            </w:pPr>
            <w:r>
              <w:rPr>
                <w:rFonts w:cs="Times New Roman"/>
                <w:iCs/>
                <w:sz w:val="22"/>
              </w:rPr>
              <w:t>В 2020 году введено в эксплуатацию 16 367 зданий жилого назначения, что на 290 объектов больше, чем годом ранее,</w:t>
            </w:r>
            <w:r>
              <w:rPr>
                <w:rFonts w:eastAsia="Times New Roman" w:cs="Times New Roman"/>
                <w:iCs/>
                <w:sz w:val="22"/>
                <w:lang w:eastAsia="ru-RU"/>
              </w:rPr>
              <w:t xml:space="preserve"> п</w:t>
            </w:r>
            <w:r>
              <w:rPr>
                <w:rFonts w:eastAsia="Times New Roman" w:cs="Times New Roman"/>
                <w:sz w:val="22"/>
                <w:lang w:eastAsia="ru-RU"/>
              </w:rPr>
              <w:t>ри этом п</w:t>
            </w:r>
            <w:r>
              <w:rPr>
                <w:rFonts w:eastAsia="Times New Roman" w:cs="Times New Roman"/>
                <w:iCs/>
                <w:sz w:val="22"/>
                <w:lang w:eastAsia="ru-RU"/>
              </w:rPr>
              <w:t xml:space="preserve">лощадь введённого жилья увеличилась на 13,1 % и составила 5124,3 тыс. кв. м (против 4532,0 тыс. кв. м в 2019 году). </w:t>
            </w:r>
          </w:p>
          <w:p>
            <w:pPr>
              <w:pStyle w:val="Normal"/>
              <w:spacing w:lineRule="auto" w:line="240" w:before="0" w:after="0"/>
              <w:ind w:firstLine="709"/>
              <w:rPr>
                <w:rFonts w:eastAsia="Times New Roman" w:cs="Times New Roman"/>
                <w:sz w:val="22"/>
                <w:lang w:eastAsia="ru-RU"/>
              </w:rPr>
            </w:pPr>
            <w:r>
              <w:rPr>
                <w:rFonts w:eastAsia="Times New Roman" w:cs="Times New Roman"/>
                <w:iCs/>
                <w:sz w:val="22"/>
                <w:lang w:eastAsia="ru-RU"/>
              </w:rPr>
              <w:t>Ввод многоквартирных домов увеличился на 14,6 %, до 2 918,7 тыс. кв. м в связи с введением государственной поддержки «льготная ипотека», что способствовало росту спроса на квартиры, в следствии чего застройщики сокращали сроки завершения объектов и ввода в эксплуатацию много квартирных домов.</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Ввод жилых домов индивидуальными застройщиками увеличился на 10,4 % до 2188,2 тыс. кв. м</w:t>
            </w:r>
            <w:r>
              <w:rPr>
                <w:rFonts w:eastAsia="Times New Roman" w:cs="Times New Roman"/>
                <w:iCs/>
                <w:sz w:val="22"/>
                <w:lang w:eastAsia="ru-RU"/>
              </w:rPr>
              <w:t>. Д</w:t>
            </w:r>
            <w:r>
              <w:rPr>
                <w:rFonts w:eastAsia="Times New Roman" w:cs="Times New Roman"/>
                <w:sz w:val="22"/>
                <w:lang w:eastAsia="ru-RU"/>
              </w:rPr>
              <w:t xml:space="preserve">оля индивидуальных застройщиков в общем объёме всего введённого жилья снизилась до 42,7 % (против 43,8 % в 2019 году).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Обеспеченность населения жильём составляет 28,2 кв. м в расчёте на одного жителя.</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В строительной отрасли уровень конкуренции достаточно высокий. На рынке строительных работ осуществляют деятельность более 6,3 тысяч строительных организаций, в том числе 180 крупных и средних. При этом доля предприятий, относящихся к частной форме собственности, составляет 86,8 % по итогам 2020 года. В жилищном строительстве 97,2 % жилых домов (за исключением индивидуальных жилых домов) построено организациями частной формы собственности. </w:t>
            </w:r>
            <w:r>
              <w:rPr>
                <w:rFonts w:cs="Times New Roman"/>
                <w:sz w:val="22"/>
              </w:rPr>
              <w:t>В 2020 году в Краснодарском крае 235 застройщиков осуществляли реализацию 423 проектов строительства в рамках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r>
      <w:tr>
        <w:trPr>
          <w:trHeight w:val="1407"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19.1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открытости и доступности при осуществлении государственных закупок на строительство объектов жилищного строительства</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снижение количества нарушений при проведении закупок на строительство объектов жилищного строительства;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равного доступа участников на товарный рынок;</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информированности хозяйствующих субъектов, осуществляющих деятельность на данном рынке</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объеме выполненных работ по виду экономической деятельности «Строительство» составляет не менее 91 процента,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97,2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98,0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98,2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98,5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98,9</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департамент строительства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rPr>
                <w:rFonts w:eastAsia="Times New Roman" w:cs="Times New Roman"/>
                <w:color w:val="000000"/>
                <w:sz w:val="22"/>
                <w:lang w:eastAsia="ru-RU"/>
              </w:rPr>
            </w:pPr>
            <w:r>
              <w:rPr>
                <w:rFonts w:eastAsia="Times New Roman" w:cs="Times New Roman"/>
                <w:color w:val="000000"/>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19.2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Создание условий в сфере государственного регулирования деятельности для содействия развитию товарного рынка</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объем ввода жилья на территории Краснодарского края, млн м2</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5,124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5,037</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5,647</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37" w:right="-31" w:firstLine="137"/>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37" w:right="-31" w:firstLine="137"/>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37" w:right="-31" w:firstLine="137"/>
              <w:jc w:val="center"/>
              <w:rPr>
                <w:rFonts w:eastAsia="Times New Roman" w:cs="Times New Roman"/>
                <w:sz w:val="22"/>
                <w:lang w:eastAsia="ru-RU"/>
              </w:rPr>
            </w:pPr>
            <w:r>
              <w:rPr>
                <w:rFonts w:eastAsia="Times New Roman" w:cs="Times New Roman"/>
                <w:sz w:val="22"/>
                <w:lang w:eastAsia="ru-RU"/>
              </w:rPr>
              <w:t>5,626</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5,626</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contextualSpacing/>
              <w:jc w:val="center"/>
              <w:rPr>
                <w:rFonts w:eastAsia="Times New Roman" w:cs="Times New Roman"/>
                <w:color w:val="FF0000"/>
                <w:sz w:val="22"/>
                <w:lang w:eastAsia="ru-RU"/>
              </w:rPr>
            </w:pPr>
            <w:r>
              <w:rPr>
                <w:rFonts w:eastAsia="Times New Roman" w:cs="Times New Roman"/>
                <w:sz w:val="22"/>
                <w:lang w:eastAsia="ru-RU"/>
              </w:rPr>
              <w:t xml:space="preserve"> </w:t>
            </w:r>
            <w:r>
              <w:rPr>
                <w:rFonts w:eastAsia="Times New Roman" w:cs="Times New Roman"/>
                <w:sz w:val="22"/>
                <w:lang w:eastAsia="ru-RU"/>
              </w:rPr>
              <w:t>Рынок строительства объектов капитального строительства, за исключением жилищного и дорожного строительства</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Style36"/>
              <w:spacing w:lineRule="auto" w:line="240" w:before="0" w:after="0"/>
              <w:ind w:left="0" w:firstLine="709"/>
              <w:rPr>
                <w:sz w:val="22"/>
              </w:rPr>
            </w:pPr>
            <w:r>
              <w:rPr>
                <w:sz w:val="22"/>
              </w:rPr>
              <w:t>За 2020 год в Краснодарском крае выполнено строительно-монтажных работ на сумму 283,7 млрд рублей или 98,2 % к соответствующему периоду 2019 года в сопоставимых ценах, при индексе дефляторе – 102,9 %.</w:t>
            </w:r>
          </w:p>
          <w:p>
            <w:pPr>
              <w:pStyle w:val="NoSpacing"/>
              <w:widowControl w:val="false"/>
              <w:ind w:firstLine="709"/>
              <w:jc w:val="both"/>
              <w:rPr>
                <w:rFonts w:ascii="Times New Roman" w:hAnsi="Times New Roman"/>
              </w:rPr>
            </w:pPr>
            <w:r>
              <w:rPr>
                <w:rFonts w:ascii="Times New Roman" w:hAnsi="Times New Roman"/>
                <w:iCs/>
              </w:rPr>
              <w:t xml:space="preserve">В 2020 году количество построенных объектов нежилого назначения уменьшилось, введено в эксплуатацию 740 зданий (против 943 в 2019 году), </w:t>
            </w:r>
            <w:r>
              <w:rPr>
                <w:rFonts w:ascii="Times New Roman" w:hAnsi="Times New Roman"/>
              </w:rPr>
              <w:t xml:space="preserve">то есть на 21,5 % меньше. </w:t>
            </w:r>
          </w:p>
          <w:p>
            <w:pPr>
              <w:pStyle w:val="Normal"/>
              <w:spacing w:lineRule="auto" w:line="240" w:before="0" w:after="0"/>
              <w:ind w:firstLine="709"/>
              <w:rPr>
                <w:rFonts w:eastAsia="Times New Roman" w:cs="Times New Roman"/>
                <w:iCs/>
                <w:sz w:val="22"/>
                <w:lang w:eastAsia="ru-RU"/>
              </w:rPr>
            </w:pPr>
            <w:r>
              <w:rPr>
                <w:rFonts w:eastAsia="Times New Roman" w:cs="Times New Roman"/>
                <w:sz w:val="22"/>
                <w:lang w:eastAsia="ru-RU"/>
              </w:rPr>
              <w:t>Снизилось в 2 раза число введённых промышленных зданий – с 102 до 51, сельскохозяйственных – 71 до 67, коммерческих – с 425 до 365, административных – с 49 до 25, а также зданий учреждений здравоохранения – с 16 до 14, и прочих – с 264 до 197</w:t>
            </w:r>
            <w:r>
              <w:rPr>
                <w:rFonts w:eastAsia="Times New Roman" w:cs="Times New Roman"/>
                <w:iCs/>
                <w:sz w:val="22"/>
                <w:lang w:eastAsia="ru-RU"/>
              </w:rPr>
              <w:t>. Увеличился ввод учебных объектов – 21 в 2020 году против 16 в 2019 году.</w:t>
            </w:r>
          </w:p>
          <w:p>
            <w:pPr>
              <w:pStyle w:val="Normal"/>
              <w:spacing w:lineRule="auto" w:line="240" w:before="0" w:after="0"/>
              <w:ind w:firstLine="709"/>
              <w:rPr>
                <w:rFonts w:eastAsia="Times New Roman" w:cs="Times New Roman"/>
                <w:iCs/>
                <w:sz w:val="22"/>
                <w:lang w:eastAsia="ru-RU"/>
              </w:rPr>
            </w:pPr>
            <w:r>
              <w:rPr>
                <w:rFonts w:eastAsia="Times New Roman" w:cs="Times New Roman"/>
                <w:iCs/>
                <w:sz w:val="22"/>
                <w:lang w:eastAsia="ru-RU"/>
              </w:rPr>
              <w:t xml:space="preserve">Среди введённых объектов: свинофермы и фермы по содержанию крупного рогатого скота (на 12,0 и 0,9 тыс. мест), теплицы под стеклом </w:t>
              <w:br/>
              <w:t xml:space="preserve">(0,4 тыс. кв. м), зерносеменохранилища на 57,0 тыс. тонн, мощности по производству хлебобулочных изделий (4,0 тонн в смену) и цельномолочной продукции (5,0 тонн в смену), сыра (1,0 тонн в смену), торговые предприятия (124,8 тыс. кв. м), общетоварные склады (61,5 тыс. кв. м), торгово-офисные центры (28,0 тыс. кв. м), предприятия общепита на 185 места, гостиницы на 1373 мест. </w:t>
            </w:r>
          </w:p>
          <w:p>
            <w:pPr>
              <w:pStyle w:val="Normal"/>
              <w:spacing w:lineRule="auto" w:line="240" w:before="0" w:after="0"/>
              <w:ind w:firstLine="709"/>
              <w:rPr>
                <w:sz w:val="22"/>
              </w:rPr>
            </w:pPr>
            <w:r>
              <w:rPr>
                <w:sz w:val="22"/>
              </w:rPr>
              <w:t xml:space="preserve">Из объектов социальной сферы в 2020г. за счет нового строительства введены в эксплуатацию: 25,3 км водопровода, в том числе 1,7 км в сельской местности; 7,6 км канализации; 40,9 км газовых сетей, в том числе 7,0 км в сельской местности; объекты теплоснабжения производительностью 15,1 Гигакал/час, в том числе 0,4 Гигакал/час в сельской местности; амбулаторно-поликлинические организации на 343 посещения в смену, в том числе на 43 посещения в смену в сельской местности; общеобразовательные организации на 5800 ученических мест; дошкольные образовательные организации на 2415 мест, в том числе на 400 мест в сельской местности; один плавательный бассейн (с длиной дорожек 25 и 50м); четыре физкультурно-оздоровительных комплекса; плоскостные спортивные сооружения (футбольные поля, игровые площадки и т.д.) площадью 4,9 тыс. кв. метров; спортивные залы площадью 15,8 тыс. кв. м; 11 культовых сооружений.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В строительной отрасли уровень конкуренции достаточно высокий. На рынке строительных работ осуществляют деятельность более 6,3 тысяч строительных организаций, в том числе 180 крупных и средних. При этом доля предприятий, относящихся к частной форме собственности, составляет</w:t>
              <w:br/>
              <w:t>89 %.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20.1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Создание условий в сфере государственного регулирования деятельности для содействия развитию товарного рынка</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информированность о планах по созданию объектов инфраструктуры;</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информация на официальном сайте отраслевых органов исполнительной власти Краснодарского края, официальных сайтах органов местного самоуправления </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2022 – 2025</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89,0</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89,2</w:t>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89,5</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90,0</w:t>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91</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строительства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20.2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открытости и доступности при осуществлении государственных закупок на строительство объектов капитального строительства</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20.3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Определение предприятий, учреждений, хозяйственных обществ с государственным участием, осуществляющих деятельность сфере строительства;</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принятие решения о приватизации предприятий, учреждений, хозяйственных обществ с государственным участием, осуществляющих деятельность сфере строительства</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устранение административных барьеров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до 31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декабря 2025 г.</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департамент строительства </w:t>
            </w:r>
            <w:r>
              <w:rPr>
                <w:sz w:val="22"/>
              </w:rPr>
              <w:t>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ListParagraph"/>
              <w:numPr>
                <w:ilvl w:val="0"/>
                <w:numId w:val="1"/>
              </w:numPr>
              <w:spacing w:lineRule="auto" w:line="240" w:before="0" w:after="0"/>
              <w:contextualSpacing/>
              <w:jc w:val="center"/>
              <w:rPr>
                <w:rFonts w:eastAsia="Calibri" w:cs="Times New Roman"/>
                <w:color w:val="FF0000"/>
                <w:kern w:val="2"/>
                <w:sz w:val="22"/>
                <w:lang w:eastAsia="ru-RU"/>
              </w:rPr>
            </w:pPr>
            <w:r>
              <w:rPr>
                <w:rFonts w:eastAsia="Calibri" w:cs="Times New Roman"/>
                <w:kern w:val="2"/>
                <w:sz w:val="22"/>
                <w:lang w:eastAsia="ru-RU"/>
              </w:rPr>
              <w:t>Рынок дорожной деятельности (за исключением проектирования)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Calibri" w:cs="Times New Roman"/>
                <w:sz w:val="22"/>
              </w:rPr>
            </w:pPr>
            <w:r>
              <w:rPr>
                <w:rFonts w:eastAsia="Calibri" w:cs="Times New Roman"/>
                <w:sz w:val="22"/>
              </w:rPr>
              <w:t>Объем дорожного фонда Краснодарского края в 2020 году составил 34,68 млрд рублей, в том числе 4,05 млрд рублей из федерального бюджета.</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Расходование средств дорожного фонда Краснодарского края осуществляется в рамках государственных программ Краснодарского края.</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Действия участников данного рынка услуг строго регламентированы действующим законодательством, отражающим как порядок размещения государственных и муниципальных заказов, так и строгий контроль за их исполнением, т. е. за качеством выполненных строительных работ.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Административных барьеров для входа на рынок частного бизнеса нет. Однако объем государственного заказа на выполнение дорожно-ремонтных и строительных дорожных работ на автодорогах регионального значения производится на основе выигранных аукционов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области дорожного строительства работы выполняют преимущественно крупные организации, имеющие соответствующие производственные мощности, обладающие опытными квалифицированными кадрами и современной дорожно-строительной техникой.</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Доля присутствия частного бизнеса на рынке </w:t>
            </w:r>
            <w:r>
              <w:rPr>
                <w:rFonts w:eastAsia="Calibri" w:cs="Times New Roman"/>
                <w:kern w:val="2"/>
                <w:sz w:val="22"/>
                <w:lang w:eastAsia="ru-RU"/>
              </w:rPr>
              <w:t>дорожной деятельности (за исключением проектирования) составляет 78,4 %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21.1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анализа состояния и развития конкурентной среды на рынке дорожной деятельности (за исключением проектирования), объемов дорожных работ, выполненных организациями частной формы собственности на автомобильных дорогах регионального значения</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осуществление мониторинга достижения значений ключевого показателя развития конкуренции</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доля организаций частной формы собственности в сфере </w:t>
            </w:r>
            <w:r>
              <w:rPr>
                <w:rFonts w:eastAsia="Times New Roman" w:cs="Times New Roman"/>
                <w:kern w:val="2"/>
                <w:sz w:val="22"/>
                <w:lang w:eastAsia="ru-RU"/>
              </w:rPr>
              <w:t>дорожной деятельности (за исключением проектирования)</w:t>
            </w:r>
            <w:r>
              <w:rPr>
                <w:rFonts w:eastAsia="Times New Roman" w:cs="Times New Roman"/>
                <w:color w:val="000000"/>
                <w:sz w:val="22"/>
                <w:lang w:eastAsia="ru-RU"/>
              </w:rPr>
              <w:t>, процентов</w:t>
            </w:r>
          </w:p>
        </w:tc>
        <w:tc>
          <w:tcPr>
            <w:tcW w:w="12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78,4</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80</w:t>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81</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83</w:t>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highlight w:val="yellow"/>
                <w:lang w:eastAsia="ru-RU"/>
              </w:rPr>
            </w:pPr>
            <w:r>
              <w:rPr>
                <w:rFonts w:eastAsia="Times New Roman" w:cs="Times New Roman"/>
                <w:sz w:val="22"/>
                <w:lang w:eastAsia="ru-RU"/>
              </w:rPr>
              <w:t>85</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транспорта и дорожного хозяйства Краснодарского края</w:t>
            </w:r>
          </w:p>
        </w:tc>
      </w:tr>
      <w:tr>
        <w:trPr>
          <w:trHeight w:val="4377"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21.2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Создание условий для обеспечения ценовой и неценовой конкуренции между участниками рынка дорожного строительства и определение поставщиков (подрядчиков, исполнителей) конкурентными способами в целях выявления лучших условий поставок товаров, выполнения работ, оказания услуг</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предоставление равных возможностей для участия в торгах хозяйствующим субъектам независимо от их формы собственности;</w:t>
            </w:r>
          </w:p>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исключение случаев создания препятствий для осуществления предпринимательской деятельности</w:t>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r>
      <w:tr>
        <w:trPr>
          <w:trHeight w:val="296" w:hRule="atLeast"/>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Рынок лабораторных исследований для выдачи ветеринарных сопроводительных документов</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Times New Roman" w:cs="Times New Roman"/>
                <w:kern w:val="2"/>
                <w:sz w:val="22"/>
                <w:lang w:eastAsia="ru-RU"/>
              </w:rPr>
            </w:pPr>
            <w:r>
              <w:rPr>
                <w:rFonts w:eastAsia="Times New Roman" w:cs="Times New Roman"/>
                <w:kern w:val="2"/>
                <w:sz w:val="22"/>
                <w:lang w:eastAsia="ru-RU"/>
              </w:rPr>
              <w:t>По состоянию на 1 октября 2021 г. в Краснодарском крае осуществляют лабораторную деятельность в целях оформления ветеринарных сопроводительных документов (далее – ВСД) 16 подведомственных учреждений и 9 лабораторий, принадлежащих обществам с ограниченной ответственностью аккредитованных или прошедших процедуру подтверждения компетентности аккредитованного лица в течение 2019-2020 гг. Соответственно целевое значение ключевого показателя развития конкуренции в плане мероприятий («дорожной карте») по содействию развития конкуренции на курируемых товарных рынках составило 36,0 %.</w:t>
            </w:r>
          </w:p>
          <w:p>
            <w:pPr>
              <w:pStyle w:val="Normal"/>
              <w:spacing w:lineRule="auto" w:line="240" w:before="0" w:after="0"/>
              <w:ind w:firstLine="709"/>
              <w:rPr>
                <w:rFonts w:eastAsia="Times New Roman" w:cs="Times New Roman"/>
                <w:sz w:val="22"/>
                <w:lang w:eastAsia="ru-RU"/>
              </w:rPr>
            </w:pPr>
            <w:r>
              <w:rPr>
                <w:rFonts w:eastAsia="Times New Roman" w:cs="Times New Roman"/>
                <w:kern w:val="2"/>
                <w:sz w:val="22"/>
                <w:lang w:eastAsia="ru-RU"/>
              </w:rPr>
              <w:t>Одним из административных барьеров для входа на рынок частного бизнеса</w:t>
            </w:r>
            <w:r>
              <w:rPr>
                <w:rFonts w:eastAsia="Times New Roman" w:cs="Times New Roman"/>
                <w:sz w:val="22"/>
                <w:lang w:eastAsia="ru-RU"/>
              </w:rPr>
              <w:t xml:space="preserve"> являются финансовые затраты на организацию работы лаборатории (приобретение приборов и оборудования, расходных материалов, актуализация нормативной документации, обучение специалистов), на прохождение проверки экспертами аккредитации. Сложность поддержания состояния лаборатории соблюдения критерий аккредитации. При нарушении критериев аккредитации Росаккредитация может приостановить или отменить действие аттестата аккредитации. Возможность прохождения аккредитации имеется только у крупных и финансово стабильных организаций.</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Для обеспечения снижения участия государственного сектора на товарном рынке проводится информирование о необходимости проведения лабораторных исследований для выдачи ветеринарных сопроводительных документов.</w:t>
            </w:r>
          </w:p>
        </w:tc>
      </w:tr>
      <w:tr>
        <w:trPr>
          <w:trHeight w:val="2675"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22.1</w:t>
            </w:r>
          </w:p>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Информирование о порядке и критериях аккредитации в национальной системе аккредитации в целях проведения лабораторных исследований для выдачи ветеринарных сопроводительных документов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повышение информированности предпринимателей, осуществляющих хозяйственную</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деятельность на товарном рынке</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лабораторных исследований для выдачи ветеринарных сопроводительных документов,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36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36</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36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36</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36</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ветеринарии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color w:val="FF0000"/>
                <w:sz w:val="22"/>
                <w:lang w:eastAsia="ru-RU"/>
              </w:rPr>
            </w:pPr>
            <w:r>
              <w:rPr>
                <w:rFonts w:eastAsia="Times New Roman" w:cs="Times New Roman"/>
                <w:sz w:val="22"/>
                <w:lang w:eastAsia="ru-RU"/>
              </w:rPr>
              <w:t>Рынок племенного животноводства</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firstLine="731"/>
              <w:rPr>
                <w:rFonts w:eastAsia="Times New Roman" w:cs="Times New Roman"/>
                <w:sz w:val="22"/>
                <w:lang w:eastAsia="ru-RU"/>
              </w:rPr>
            </w:pPr>
            <w:r>
              <w:rPr>
                <w:rFonts w:cs="Times New Roman"/>
                <w:sz w:val="22"/>
                <w:szCs w:val="24"/>
              </w:rPr>
              <w:t>На 1 января 2021 г. в Краснодарском крае зарегистрировано 38 племенных организаций, имеющих 52 свидетельства на право деятельности в области племенного животноводства. Общее поголовье племенных животных составляет 56,3 тыс. условных голов, что на 2,2 тыс. условных голов больше, чем годом ранее. Одним из основных направлений в племенной работе является разведение и селекционно-племенная работа с крупным рогатым скотом. Благодаря целенаправленной селекции удалось значительно увеличить молочную продуктивность в племенных хозяйствах. В текущем году молочная продуктивность племенных коров по предварительным данным составит 9556 кг, что на 1133 кг больше уровня прошлого года.</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23.1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Проведение мониторинга административных барьеров и оценки состояния конкурентной среды на рынке племенного животноводства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right="-108" w:hanging="0"/>
              <w:jc w:val="left"/>
              <w:rPr>
                <w:rFonts w:eastAsia="Times New Roman" w:cs="Times New Roman"/>
                <w:sz w:val="22"/>
                <w:lang w:eastAsia="ru-RU"/>
              </w:rPr>
            </w:pPr>
            <w:r>
              <w:rPr>
                <w:rFonts w:eastAsia="Times New Roman" w:cs="Times New Roman"/>
                <w:sz w:val="22"/>
                <w:lang w:eastAsia="ru-RU"/>
              </w:rPr>
              <w:t xml:space="preserve">развитие </w:t>
              <w:br/>
              <w:t xml:space="preserve">конкуренции </w:t>
            </w:r>
          </w:p>
          <w:p>
            <w:pPr>
              <w:pStyle w:val="Normal"/>
              <w:widowControl w:val="false"/>
              <w:spacing w:lineRule="auto" w:line="240" w:before="0" w:after="0"/>
              <w:ind w:right="-108" w:hanging="0"/>
              <w:jc w:val="left"/>
              <w:rPr>
                <w:rFonts w:ascii="Arial" w:hAnsi="Arial" w:eastAsia="Times New Roman" w:cs="Arial"/>
                <w:sz w:val="22"/>
                <w:lang w:eastAsia="ru-RU"/>
              </w:rPr>
            </w:pPr>
            <w:r>
              <w:rPr>
                <w:rFonts w:eastAsia="Times New Roman" w:cs="Times New Roman"/>
                <w:sz w:val="22"/>
                <w:lang w:eastAsia="ru-RU"/>
              </w:rPr>
              <w:t xml:space="preserve">на рынке </w:t>
              <w:br/>
              <w:t xml:space="preserve">племенного животноводства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доля организаций частной формы собственности на рынке племенного животноводства, процентов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rHeight w:val="1781"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23.2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Оказание мер государственной поддержки на поддержку племенного животноводства и на возмещение части затрат на приобретение племенного молодняка сельскохозяйственных животных в племенных организациях, зарегистрированных в Государственном племенном регистре</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повышение молочной продуктивности племенного </w:t>
              <w:br/>
              <w:t xml:space="preserve">маточного </w:t>
              <w:br/>
              <w:t xml:space="preserve">поголовья крупного </w:t>
              <w:br/>
              <w:t>рогатого скота</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прирост молочной продуктивности племенного маточного поголовья крупного рогатого скота, процентов к базовому году</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100,3</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100,6</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Рынок семеноводства</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 xml:space="preserve">Рынок семеноводства Краснодарского края представлен большим числом сельскохозяйственных товаропроизводителей, ведущих профессиональную деятельность по производству сортов и гибридов большого ряда сельскохозяйственных культур. По состоянию на 1 ноября 2021 г., согласно данным ФГБУ «Россельхозцентр» в реестр семеноводческих хозяйств от Краснодарского края включено 46 организаций. Объемы производства семян, производимых в Краснодарском крае достаточны для планомерного сортообновления в отрасли растениеводства региона.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Семенами отечественной селекции в Краснодарском крае засевается порядка 100 % площадей озимых зерновых культур, более 80 % площадей сои, 35 % - кукурузы и порядка 30 % - подсолнечника.</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Несмотря на высокие достигнутые результаты в производстве корнеплодов сахарной свеклы, сельскохозяйственные товаропроизводители Кубани находятся в большой зависимости от семенного материала иностранной селекции. По итогам 2021 года только порядка 6 % посевных площадей было засеяно семенами сахарной свеклы отечественной селекции, в 2019 году данный показатель составлял 1 %.</w:t>
            </w:r>
          </w:p>
          <w:p>
            <w:pPr>
              <w:pStyle w:val="Normal"/>
              <w:spacing w:lineRule="auto" w:line="240" w:before="0" w:after="0"/>
              <w:ind w:firstLine="731"/>
              <w:rPr>
                <w:rFonts w:eastAsia="Times New Roman" w:cs="Times New Roman"/>
                <w:sz w:val="22"/>
                <w:lang w:eastAsia="ru-RU"/>
              </w:rPr>
            </w:pPr>
            <w:r>
              <w:rPr>
                <w:rFonts w:eastAsia="Times New Roman" w:cs="Times New Roman"/>
                <w:sz w:val="22"/>
                <w:lang w:eastAsia="ru-RU"/>
              </w:rPr>
              <w:t>В целях популяризации отечественных гибридов и сортов сельскохозяйственных культур ежегодно в Краснодарском крае закладываются демонстрационные посевы, на которых регулярно проводятся совещания и демонстрация передовых достижений отечественной селекции. Предоставление государственной поддержки, направленной на развитее семеноводства в регионе является актуальной и востребованной.</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24.1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 xml:space="preserve">Осуществление мониторинга деятельности семеноводческих организаций Краснодарского края </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ежегодный анализ отрасли семеноводства в Краснодарском крае</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на рынке семеноводства, процентов</w:t>
            </w:r>
          </w:p>
        </w:tc>
        <w:tc>
          <w:tcPr>
            <w:tcW w:w="12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rHeight w:val="623" w:hRule="atLeast"/>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24.2</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Оказание государственной поддержки семеноводческим организациям</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both"/>
              <w:rPr>
                <w:rFonts w:ascii="Times New Roman" w:hAnsi="Times New Roman" w:cs="Times New Roman"/>
                <w:sz w:val="22"/>
                <w:szCs w:val="22"/>
              </w:rPr>
            </w:pPr>
            <w:r>
              <w:rPr>
                <w:rFonts w:cs="Times New Roman" w:ascii="Times New Roman" w:hAnsi="Times New Roman"/>
                <w:sz w:val="22"/>
                <w:szCs w:val="22"/>
              </w:rPr>
              <w:t>прирост площади, на которой предоставлена государственная поддержка сельскохозяйственным товаропроизводителям на производство семян сельскохозяйственных культур, процентов к базовому году</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100</w:t>
            </w:r>
          </w:p>
          <w:p>
            <w:pPr>
              <w:pStyle w:val="ConsPlusNormal"/>
              <w:jc w:val="center"/>
              <w:rPr>
                <w:rFonts w:ascii="Times New Roman" w:hAnsi="Times New Roman" w:cs="Times New Roman"/>
                <w:sz w:val="22"/>
                <w:szCs w:val="22"/>
                <w:lang w:val="en-US"/>
              </w:rPr>
            </w:pPr>
            <w:r>
              <w:rPr>
                <w:rFonts w:cs="Times New Roman" w:ascii="Times New Roman" w:hAnsi="Times New Roman"/>
                <w:sz w:val="22"/>
                <w:szCs w:val="22"/>
                <w:lang w:val="en-US"/>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100,3</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101,1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101,6</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2"/>
                <w:szCs w:val="22"/>
              </w:rPr>
            </w:pPr>
            <w:r>
              <w:rPr>
                <w:rFonts w:cs="Times New Roman" w:ascii="Times New Roman" w:hAnsi="Times New Roman"/>
                <w:sz w:val="22"/>
                <w:szCs w:val="22"/>
              </w:rPr>
              <w:t>101,8</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rHeight w:val="4567"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24.3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Размещение на официальном сайте министерства сельского хозяйства и перерабатывающей промышленности Краснодарского края (далее – официальный сайт Минсельхоза КК) актуальной информации о доступных мерах государственной поддержки, включая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уровня информированности хозяйствующих субъектов на товарном рынке;</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равного доступа к информации о доступных мерах государственной поддержки семеноводческих предприятий</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наличие информации на официальном сайте Минсельхоза КК</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Рынок вылова водных биоресурсов</w:t>
            </w:r>
          </w:p>
        </w:tc>
      </w:tr>
      <w:tr>
        <w:trPr>
          <w:trHeight w:val="1838"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Times New Roman" w:cs="Times New Roman"/>
                <w:color w:val="000000"/>
                <w:sz w:val="22"/>
                <w:lang w:eastAsia="ru-RU"/>
              </w:rPr>
            </w:pPr>
            <w:r>
              <w:rPr>
                <w:rFonts w:eastAsia="Times New Roman" w:cs="Times New Roman"/>
                <w:color w:val="000000"/>
                <w:sz w:val="22"/>
                <w:lang w:eastAsia="ru-RU"/>
              </w:rPr>
              <w:t>В 2020 году количество хозяйствующих субъектов, занятых в сфере вылова водных биоресурсов, составило 181 хозяйствующий субъект, в том числе 21 - юридическое лицо и 160 - индивидуальных предпринимателей. Общий вылов в 2020 году составил 13,5 тыс. тонн.</w:t>
            </w:r>
          </w:p>
          <w:p>
            <w:pPr>
              <w:pStyle w:val="Normal"/>
              <w:spacing w:lineRule="auto" w:line="240" w:before="0" w:after="0"/>
              <w:ind w:firstLine="709"/>
              <w:rPr>
                <w:rFonts w:eastAsia="Times New Roman" w:cs="Times New Roman"/>
                <w:color w:val="000000"/>
                <w:sz w:val="22"/>
                <w:lang w:eastAsia="ru-RU"/>
              </w:rPr>
            </w:pPr>
            <w:r>
              <w:rPr>
                <w:rFonts w:eastAsia="Times New Roman" w:cs="Times New Roman"/>
                <w:color w:val="000000"/>
                <w:sz w:val="22"/>
                <w:lang w:eastAsia="ru-RU"/>
              </w:rPr>
              <w:t>Все участники товарного рынка - представители частного бизнеса.</w:t>
            </w:r>
          </w:p>
          <w:p>
            <w:pPr>
              <w:pStyle w:val="Normal"/>
              <w:spacing w:lineRule="auto" w:line="240" w:before="0" w:after="0"/>
              <w:ind w:firstLine="709"/>
              <w:rPr>
                <w:rFonts w:eastAsia="Times New Roman" w:cs="Times New Roman"/>
                <w:color w:val="000000"/>
                <w:sz w:val="22"/>
                <w:lang w:eastAsia="ru-RU"/>
              </w:rPr>
            </w:pPr>
            <w:r>
              <w:rPr>
                <w:rFonts w:eastAsia="Times New Roman" w:cs="Times New Roman"/>
                <w:color w:val="000000"/>
                <w:sz w:val="22"/>
                <w:lang w:eastAsia="ru-RU"/>
              </w:rPr>
              <w:t>В настоящее время существует проблема снижения промыслового запаса основных добываемых видов рыб, а также наблюдается низкий темп обновления промыслового вооружения.</w:t>
            </w:r>
          </w:p>
          <w:p>
            <w:pPr>
              <w:pStyle w:val="Normal"/>
              <w:spacing w:lineRule="auto" w:line="240" w:before="0" w:after="0"/>
              <w:ind w:firstLine="709"/>
              <w:rPr>
                <w:rFonts w:eastAsia="Times New Roman" w:cs="Times New Roman"/>
                <w:sz w:val="22"/>
                <w:lang w:eastAsia="ru-RU"/>
              </w:rPr>
            </w:pPr>
            <w:r>
              <w:rPr>
                <w:rFonts w:eastAsia="Times New Roman" w:cs="Times New Roman"/>
                <w:color w:val="000000"/>
                <w:sz w:val="22"/>
                <w:lang w:eastAsia="ru-RU"/>
              </w:rPr>
              <w:t>Необходимо проведение комплексных научных исследований запасов водных биоресурсов, принятие необходимых мер (в том числе ограничительных) по сохранению и рациональному использованию водных биоресурсов. Необходимо уделять особое внимание оказанию мер государственной поддержки рыбодобывающим предприятиям.</w:t>
            </w:r>
          </w:p>
        </w:tc>
      </w:tr>
      <w:tr>
        <w:trPr>
          <w:trHeight w:val="1714"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25.1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cs="Times New Roman"/>
                <w:sz w:val="22"/>
              </w:rPr>
              <w:t>Проведение мониторинга административных барьеров и оценки состояния конкурентной среды на рынке вылова водных биоресурсов</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развитие </w:t>
              <w:br/>
              <w:t xml:space="preserve">конкуренции </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на рынке </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вылова водных биоресурсов</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на рынке вылова водных биоресурсов,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rHeight w:val="3172"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25.2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color w:val="000000"/>
                <w:sz w:val="22"/>
                <w:lang w:eastAsia="ru-RU"/>
              </w:rPr>
            </w:pPr>
            <w:r>
              <w:rPr>
                <w:rFonts w:eastAsia="Times New Roman" w:cs="Times New Roman"/>
                <w:color w:val="000000"/>
                <w:sz w:val="22"/>
                <w:lang w:eastAsia="ru-RU"/>
              </w:rPr>
              <w:t>Оказание мер государственной поддержки рыбодобывающим организациям и индивидуальным предпринимателям</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объемов добычи (вылова) не ниже уровня предыдущего годы</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cs="Times New Roman"/>
                <w:sz w:val="22"/>
                <w:szCs w:val="24"/>
              </w:rPr>
              <w:t xml:space="preserve">объем добычи (вылова) мелко-сельдевых видов водных биоресурсов у рыбодобывающих организаций и индивидуальных предпринимателей составляет не менее 100 % к уровню предшествующего года, процентов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color w:val="FF0000"/>
                <w:sz w:val="22"/>
                <w:lang w:eastAsia="ru-RU"/>
              </w:rPr>
            </w:pPr>
            <w:r>
              <w:rPr>
                <w:rFonts w:eastAsia="Times New Roman" w:cs="Times New Roman"/>
                <w:sz w:val="22"/>
                <w:shd w:fill="E2EFD9" w:val="clear"/>
                <w:lang w:eastAsia="ru-RU"/>
              </w:rPr>
              <w:t>Рынок</w:t>
            </w:r>
            <w:r>
              <w:rPr>
                <w:rFonts w:eastAsia="Times New Roman" w:cs="Times New Roman"/>
                <w:sz w:val="22"/>
                <w:lang w:eastAsia="ru-RU"/>
              </w:rPr>
              <w:t xml:space="preserve"> переработки водных биоресурсов</w:t>
            </w:r>
          </w:p>
        </w:tc>
      </w:tr>
      <w:tr>
        <w:trPr>
          <w:trHeight w:val="1147"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В 2020 году деятельность по переработке водных биоресурсов на территории Краснодарского края осуществляли 86 хозяйствующих субъектов, в том числе: 20 малых предприятий (численность сотрудников до 100 человек) и 66 микропредприятий (численность сотрудников до 15 человек). Все участники рынка - представители частного бизнеса.</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Общий объем производства продукции переработки водных биоресурсов в 2020 году составил 17,8 тыс. тонн, из них: мороженой – 5,67 тыс. тонн; копченой - 2,6 тыс. тонн; соленой и вяленой - 3,47 тыс. тонн; консервы рыбные – 14,25 МУБ (миллионов условных банок). Основной объем мороженой и соленой рыбной продукции производят хозяйствующие субъекты, самостоятельно осуществляющие добычу (вылов) водных биоресурсов. Консервы, пресервы и основной объем копченой рыбной продукции производится из сырья, закупаемого у сторонних поставщиков, в том числе за пределами региона.</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Начиная с 2018 года, из-за резкого снижения объемов добычи мелкосельдевых видов рыб (хамса, шпрот, тюлька) и бычков в Азово-Черноморском рыбохозяйственном бассейне, поставки сырья на береговые рыбоперерабатывающие производства существенно сократились. В настоящее время общее падение объемов производства рыбной продукции, по сравнению с 2016-2017 гг., составило почти в 2 раза. Главным образом уменьшение вылова сказалось на объемах производствах предприятий, ориентированных на выпуск рыбной продукции в сегменте В2В (мороженая продукция из мелкосельдевых видов рыб, используемая в качестве сырья для дальнейшего производства консервов и пресервов, а также используемая в качестве кормовых добавок в звероводстве).</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По данным рыбохозяйственной науки в Азово-Черноморском бассейне тренд на сокращение запасов основных промысловых видов рыб, в том числе мелкосельдевых, будет сохраняться продолжительное время. Таким образом, объемы поставок сырья из уловов водных биоресурсов, добытых в Азовском и Черном морях, будут ограничены.</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В сложившихся условиях целесообразно обеспечить развитие производственных мощностей, связанных с выпуском готовой рыбной продукции для сегмента В2С и иной рыбной продукции с глубокой степенью переработки, в том числе из сырья, поставляемого от местных предприятий аквакультуры. В рамках обеспечения развития вышеуказанного направления необходимо оказание мер государственной поддержки хозяйствующим субъектам на закупку и модернизацию рыбоперерабатывающего оборудования.</w:t>
            </w:r>
          </w:p>
        </w:tc>
      </w:tr>
      <w:tr>
        <w:trPr>
          <w:trHeight w:val="1572"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26.1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color w:val="000000"/>
                <w:sz w:val="22"/>
                <w:lang w:eastAsia="ru-RU"/>
              </w:rPr>
            </w:pPr>
            <w:r>
              <w:rPr>
                <w:rFonts w:eastAsia="Times New Roman" w:cs="Times New Roman"/>
                <w:color w:val="000000"/>
                <w:sz w:val="22"/>
                <w:lang w:eastAsia="ru-RU"/>
              </w:rPr>
              <w:t>Проведение мониторинга административных барьеров и оценки состояния конкурентной среды на рынке переработки водных биоресурсов</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развитие конкуренции на рынке переработки водных биоресурсов</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на рынке переработки водных биоресурсов, процентов</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26.2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color w:val="000000"/>
                <w:sz w:val="22"/>
                <w:lang w:eastAsia="ru-RU"/>
              </w:rPr>
              <w:t xml:space="preserve">Предоставление мер государственной поддержки организациям, занимающимся переработкой водных биоресурсов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обеспечение объемов </w:t>
              <w:br/>
              <w:t xml:space="preserve">производства товарно-пищевой рыбной продукции не ниже уровня предыдущего годы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cs="Times New Roman"/>
                <w:sz w:val="22"/>
                <w:szCs w:val="24"/>
              </w:rPr>
            </w:pPr>
            <w:r>
              <w:rPr>
                <w:rFonts w:cs="Times New Roman"/>
                <w:sz w:val="22"/>
                <w:szCs w:val="24"/>
              </w:rPr>
              <w:t>объем производства товарно-пищевой рыбной продукции из водных биоресурсов у организаций, занимающихся переработкой водных биоресурсов, составляет не менее 100 % к уровню предшествующего года, процентов</w:t>
            </w:r>
          </w:p>
          <w:p>
            <w:pPr>
              <w:pStyle w:val="Normal"/>
              <w:spacing w:lineRule="auto" w:line="240" w:before="0" w:after="0"/>
              <w:ind w:right="-31" w:hanging="0"/>
              <w:rPr>
                <w:rFonts w:cs="Times New Roman"/>
                <w:sz w:val="22"/>
                <w:szCs w:val="24"/>
              </w:rPr>
            </w:pPr>
            <w:r>
              <w:rPr>
                <w:rFonts w:cs="Times New Roman"/>
                <w:sz w:val="22"/>
                <w:szCs w:val="24"/>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rHeight w:val="2788"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26.3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Calibri" w:cs="Times New Roman"/>
                <w:color w:val="000000"/>
                <w:sz w:val="22"/>
                <w:lang w:eastAsia="ru-RU"/>
              </w:rPr>
            </w:pPr>
            <w:r>
              <w:rPr>
                <w:rFonts w:eastAsia="Calibri" w:cs="Times New Roman"/>
                <w:color w:val="000000"/>
                <w:sz w:val="22"/>
                <w:lang w:eastAsia="ru-RU"/>
              </w:rPr>
              <w:t xml:space="preserve">Создание условий для продвижения продукции организаций, занимающихся рыбопереработкой. Знакомство потенциальных потребителей с </w:t>
              <w:br/>
              <w:t>ассортиментом выпускаемой продукции.</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расширение рынка сбыта рыбной продукции</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участие рыбоперерабатывающих предприятий в агропромышленной выставке «Кубанская ярмарка», предоставление отчета об участниках в уполномоченный орган, наличие</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 органы местного самоуправления муниципальных образований Краснодарского края</w:t>
            </w:r>
          </w:p>
        </w:tc>
      </w:tr>
      <w:tr>
        <w:trPr>
          <w:trHeight w:val="68" w:hRule="atLeast"/>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Рынок товарной аквакультуры</w:t>
            </w:r>
          </w:p>
        </w:tc>
      </w:tr>
      <w:tr>
        <w:trPr>
          <w:trHeight w:val="296"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67" w:firstLine="731"/>
              <w:rPr>
                <w:rFonts w:eastAsia="Times New Roman" w:cs="Times New Roman"/>
                <w:color w:val="000000"/>
                <w:sz w:val="22"/>
                <w:lang w:eastAsia="ru-RU"/>
              </w:rPr>
            </w:pPr>
            <w:r>
              <w:rPr>
                <w:rFonts w:eastAsia="Times New Roman" w:cs="Times New Roman"/>
                <w:color w:val="000000"/>
                <w:sz w:val="22"/>
                <w:lang w:eastAsia="ru-RU"/>
              </w:rPr>
              <w:t>В 2020 году на рынке товарной аквакультуры осуществляли деятельность более 600 хозяйствующих субъектов. Все участники товарного рынка - представители частного бизнеса. Объем производства (выращивания) объектов аквакультуры в 2020 году составил 21,6 тыс. тонн.</w:t>
            </w:r>
          </w:p>
          <w:p>
            <w:pPr>
              <w:pStyle w:val="Normal"/>
              <w:spacing w:lineRule="auto" w:line="240" w:before="0" w:after="0"/>
              <w:ind w:right="-67" w:firstLine="731"/>
              <w:rPr>
                <w:rFonts w:eastAsia="Times New Roman" w:cs="Times New Roman"/>
                <w:sz w:val="22"/>
                <w:lang w:eastAsia="ru-RU"/>
              </w:rPr>
            </w:pPr>
            <w:r>
              <w:rPr>
                <w:rFonts w:eastAsia="Times New Roman" w:cs="Times New Roman"/>
                <w:color w:val="000000"/>
                <w:sz w:val="22"/>
                <w:lang w:eastAsia="ru-RU"/>
              </w:rPr>
              <w:t>Необходимо продолжить оказание мер государственной поддержки предприятиям аквакультуры, содействовать участию хозяйствующих субъектов в ярмарках «выходного дня», проводимых муниципальными образованиями.</w:t>
            </w:r>
          </w:p>
        </w:tc>
      </w:tr>
      <w:tr>
        <w:trPr>
          <w:trHeight w:val="1427"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27.1</w:t>
            </w:r>
          </w:p>
          <w:p>
            <w:pPr>
              <w:pStyle w:val="Normal"/>
              <w:spacing w:lineRule="auto" w:line="240" w:before="0" w:after="0"/>
              <w:ind w:left="-120" w:right="-31" w:hanging="0"/>
              <w:jc w:val="left"/>
              <w:rPr>
                <w:rFonts w:eastAsia="Times New Roman" w:cs="Times New Roman"/>
                <w:sz w:val="22"/>
                <w:lang w:eastAsia="ru-RU"/>
              </w:rPr>
            </w:pPr>
            <w:r>
              <w:rPr>
                <w:rFonts w:eastAsia="Times New Roman" w:cs="Times New Roman"/>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Оказание государственной поддержки на производство товарной рыбы и рыбопосадочного материала</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увеличение производства товарной аквакультуры</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на рынке товарной аквакультуры,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rHeight w:val="3434"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27.2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Создание условий для продвижения продукции предприятий и организаций, занимающихся товарной аквакультурой. Знакомство потенциальных потребителей с ассортиментом выпускаемой продукции.</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расширение рынка сбыта рыбной продукции;</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стимулирование активного участия хозяйствующих субъектов в проведении агропромышленной выставки «Кубанская ярмарка»</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участие предприятий аквакультуры в агропромышленной выставке «Кубанская ярмарка», предоставление отчета об участниках в уполномоченный орган, наличие</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rHeight w:val="296" w:hRule="atLeast"/>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color w:val="FF0000"/>
                <w:sz w:val="22"/>
                <w:lang w:eastAsia="ru-RU"/>
              </w:rPr>
            </w:pPr>
            <w:r>
              <w:rPr>
                <w:rFonts w:eastAsia="Times New Roman" w:cs="Times New Roman"/>
                <w:sz w:val="22"/>
                <w:lang w:eastAsia="ru-RU"/>
              </w:rPr>
              <w:t>Рынок добычи общераспространенных полезных ископаемых на участках недр местного значения</w:t>
            </w:r>
          </w:p>
        </w:tc>
      </w:tr>
      <w:tr>
        <w:trPr>
          <w:trHeight w:val="3557"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Calibri" w:cs="Times New Roman"/>
                <w:color w:val="000000"/>
                <w:sz w:val="22"/>
                <w:lang w:eastAsia="ru-RU"/>
              </w:rPr>
            </w:pPr>
            <w:r>
              <w:rPr>
                <w:rFonts w:eastAsia="Calibri" w:cs="Times New Roman"/>
                <w:color w:val="000000"/>
                <w:sz w:val="22"/>
                <w:lang w:eastAsia="ru-RU"/>
              </w:rPr>
              <w:t>На территории Краснодарского края в соответствии с Законом Российской Федерации от 21 февраля 1992 г. № 2395-1 «О недрах» 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w:t>
            </w:r>
          </w:p>
          <w:p>
            <w:pPr>
              <w:pStyle w:val="Normal"/>
              <w:spacing w:lineRule="auto" w:line="240" w:before="0" w:after="0"/>
              <w:ind w:firstLine="709"/>
              <w:rPr>
                <w:rFonts w:eastAsia="Calibri" w:cs="Times New Roman"/>
                <w:color w:val="000000"/>
                <w:sz w:val="22"/>
                <w:lang w:eastAsia="ru-RU"/>
              </w:rPr>
            </w:pPr>
            <w:r>
              <w:rPr>
                <w:rFonts w:eastAsia="Calibri" w:cs="Times New Roman"/>
                <w:color w:val="000000"/>
                <w:sz w:val="22"/>
                <w:lang w:eastAsia="ru-RU"/>
              </w:rPr>
              <w:t>Предоставление недр в пользование с целью геологического изучения, разведки и добычи общераспространенных полезных ископаемых на территории Краснодарского края оформляется специальным государственным разрешением в виде лицензии.</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В 2020 году недропользователями добыто следующих видов основных полезных ископаемых: кирпично-черепичного сырья – 1171,81 тыс. м3; песка строительного 2286,96 тыс. м3; строительного камня – 1796,4 тыс. м3; песчано-гравийных материалов – 10356,18 тыс. м3, гипс и ангидрид – 665,02 тыс. м3. По состоянию на 1 января 2021 г. фонд недр Краснодарского края составляет 528 месторождений общераспространенных полезных ископаемых.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Согласно Балансу запасов общераспространенных полезных ископаемых Краснодарского края по состоянию на 1 января 2021 г. на территории Краснодарского края в нераспределенном фонде недр учитываются порядка 299 месторождений общераспространенных полезных ископаемых. </w:t>
            </w:r>
          </w:p>
          <w:p>
            <w:pPr>
              <w:pStyle w:val="Normal"/>
              <w:spacing w:lineRule="auto" w:line="240" w:before="0" w:after="0"/>
              <w:ind w:firstLine="709"/>
              <w:rPr>
                <w:rFonts w:eastAsia="Calibri" w:cs="Times New Roman"/>
                <w:color w:val="000000"/>
                <w:sz w:val="22"/>
                <w:lang w:eastAsia="ru-RU"/>
              </w:rPr>
            </w:pPr>
            <w:r>
              <w:rPr>
                <w:rFonts w:eastAsia="Times New Roman" w:cs="Times New Roman"/>
                <w:sz w:val="22"/>
                <w:lang w:eastAsia="ru-RU"/>
              </w:rPr>
              <w:t xml:space="preserve">Как показывает комплексный анализ ресурсного потенциала строительной отрасли при реализации инфраструктурных и иных проектов   в период 2019-2024 годов, проведенный Минэкономразвития России во исполнение указания Президента Российской Федерации от 2 сентября 2018 г. № Пр-1620, Краснодарский край относится к территории, имеющей профицит производственных мощностей. При реализации проектов в сфере транспортной инфраструктуры планируемый рост уровня использования производственных мощностей составит до 13 %. Риск дефицита общераспространенных полезных ископаемых не предвидится. </w:t>
            </w:r>
          </w:p>
        </w:tc>
      </w:tr>
      <w:tr>
        <w:trPr>
          <w:trHeight w:val="2164"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28.1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Совершенствование системы межведомственного взаимодействия с исполнительными органами государственной власти в части предоставления информации о заявителях на право пользования недрами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снижение административных барьеров по вопросам регулирования отношений в сфере недропользования</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99,97</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4"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1" w:hanging="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2" w:hanging="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природных ресурсов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28.2</w:t>
            </w:r>
          </w:p>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Создание, обеспечение опубликования и актуализация на официальном сайте уполномоченного органа исполнительно власти по регулированию отношений в сфере недропользования в информационно-коммуникационной сети «Интернет» интерактивной карты с указанием предоставленных участков недр местного значения, а также перспективных участков недр, планируемых к предоставлению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создание условий для развития конкуренции на рынке добычи общераспространенных полезных ископаемых на участках недр местного значения;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информация на официальном сайте исполнительного органа государственной власти</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интерактивная карта участков недр местного значения,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природных ресурсов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color w:val="FF0000"/>
                <w:sz w:val="22"/>
                <w:lang w:eastAsia="ru-RU"/>
              </w:rPr>
            </w:pPr>
            <w:r>
              <w:rPr>
                <w:rFonts w:eastAsia="Times New Roman" w:cs="Times New Roman"/>
                <w:sz w:val="22"/>
                <w:lang w:eastAsia="ru-RU"/>
              </w:rPr>
              <w:t>Рынок легкой промышленности</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 xml:space="preserve">На территории Краснодарского края функционируют более 7 тысяч промышленных предприятий, более 100 из них – предприятия лёгкой промышленности. </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 xml:space="preserve">В соответствии со Стратегией социально-экономического развития Краснодарского края до 2030 года лёгкая промышленность определена как одна из приоритетных отраслей кластера умной промышленности. Она представлена более чем 100 предприятиями края. В структуре ВРП на долю предприятий лёгкой промышленности приходится около 2 %. </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Предприятия лёгкой промышленности производят широкий ассортимент продукции, в том числе костюмы, сорочки, школьная и казачья форма, военное обмундирование и спецодежда, джинсовая одежда, государственная символика, обувь, нетканые материалы, постельное бельё и постельные принадлежности.</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В 2020 году предприятиями легкой промышленности отгружено товаров собственного производства на 5,3 млрд рублей, из них текстильных изделий более чем на 0,5 млрд рублей, одежды – на 2,1 млрд рублей, обуви и изделий из кожи – на 2,2 млрд рублей.</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В Краснодарском крае утверждён План мероприятий по содействию развития конкуренции на 2020 – 2022 годы на рынке лёгкой промышленности, в соответствии с которым основными задачами являются: реализация мер финансовой поддержки предприятий легкой промышленности; содействие в продвижении товаров хозяйствующих субъектов в сфере легкой промышленности на рынки; обеспечение доступа потребителей к информации о продукции легкой промышленности.</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В целях развития рынка легкой промышленности в 2020 году проведены следующие мероприятия:</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проведена актуализация Каталога производителей школьной и казачьей формы Краснодарского края, куда вошли 18 ведущих швейных предприятий; Каталог направлен всем образовательным организациям края для дальнейшей презентации родительскому сообществу;</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проведена презентация о продвижении продукции лёгкой промышленности на электронной площадке ООО «Вайлдберриз», в которой приняли участие 13 региональных предприятий отрасли;</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 xml:space="preserve">проведено совещание под председательством главы администрации (губернатора) Краснодарского края, в котором приняли участие 9 предприятий лёгкой промышленности; в рамках данного совещания были презентованы новые направления развития отрасли – создание текстильного производства; </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на территории Краснодарского края, отмечена необходимость введения дополнительных мер государственной поддержки для резидентов промышленных парков;</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совместно с представительством АО «Российский экспортный центр» в г. Краснодаре проведено консультационное мероприятие по вопросу применения льготных таможенных процедур (производство на таможенной территории); в мероприятии приняло участие 15 предприятий.</w:t>
            </w:r>
          </w:p>
          <w:p>
            <w:pPr>
              <w:pStyle w:val="Normal"/>
              <w:spacing w:lineRule="auto" w:line="240" w:before="0" w:after="0"/>
              <w:ind w:firstLine="709"/>
              <w:rPr>
                <w:rFonts w:eastAsia="Times New Roman" w:cs="Times New Roman"/>
                <w:sz w:val="22"/>
                <w:lang w:eastAsia="ru-RU"/>
              </w:rPr>
            </w:pPr>
            <w:r>
              <w:rPr>
                <w:rFonts w:eastAsia="Times New Roman" w:cs="Times New Roman"/>
                <w:sz w:val="22"/>
                <w:szCs w:val="28"/>
                <w:lang w:eastAsia="ru-RU"/>
              </w:rPr>
              <w:t xml:space="preserve">Административных барьеров для входа на рынок частного бизнеса нет. Имеются следующие проблемы на товарном рынке: отсутствие сырьевой базы, собственного текстильного производства; дефиците квалифицированных швей; высокая насыщенность российского рынка дешевыми товарами «серого» импорта и «теневого» отечественного производства; отсутствие у промышленных предприятий собственных оборотных средств на модернизацию и обновление оборудования.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29.1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легкой промышленности</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color w:val="000000"/>
                <w:sz w:val="22"/>
                <w:lang w:eastAsia="ru-RU"/>
              </w:rPr>
            </w:pPr>
            <w:r>
              <w:rPr>
                <w:rFonts w:eastAsia="Times New Roman" w:cs="Times New Roman"/>
                <w:color w:val="000000"/>
                <w:sz w:val="22"/>
                <w:lang w:eastAsia="ru-RU"/>
              </w:rPr>
              <w:t>оказание мер государственной поддержки предприятиям легкой</w:t>
            </w:r>
            <w:r>
              <w:rPr>
                <w:rFonts w:eastAsia="Times New Roman" w:cs="Times New Roman"/>
                <w:sz w:val="22"/>
                <w:lang w:eastAsia="ru-RU"/>
              </w:rPr>
              <w:t xml:space="preserve"> промышленности</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легкой промышленности,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29.2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b/>
                <w:b/>
                <w:sz w:val="22"/>
                <w:lang w:eastAsia="ru-RU"/>
              </w:rPr>
            </w:pPr>
            <w:r>
              <w:rPr>
                <w:rFonts w:eastAsia="Times New Roman" w:cs="Times New Roman"/>
                <w:sz w:val="22"/>
                <w:lang w:eastAsia="ru-RU"/>
              </w:rPr>
              <w:t xml:space="preserve">Актуализация и ведение Каталога промышленной продукции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доступа потребителей к информации о продукции легкой промышленности;</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размещение Каталога на официальном сайте департамента промышленной политики Краснодарского края (далее также – департамент промполитики)</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информация на официальном сайте департамента промполитики,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29.3</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Обеспечение возможности и равных условий хозяйствующим субъектам для участия в региональных и межрегиональных выставках-ярмарках</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размещение «календаря мероприятий» в сети «Интернет» на официальном сайте департамента промполитики; предоставление отчета о мероприятии в уполномоченный орган</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размещение «календаря мероприятий» в сети «Интернет» на официальном сайте департамента промполитики, предоставление отчета о мероприятии в уполномоченный орган,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color w:val="FF0000"/>
                <w:sz w:val="22"/>
                <w:lang w:eastAsia="ru-RU"/>
              </w:rPr>
            </w:pPr>
            <w:r>
              <w:rPr>
                <w:rFonts w:eastAsia="Times New Roman" w:cs="Times New Roman"/>
                <w:sz w:val="22"/>
                <w:lang w:eastAsia="ru-RU"/>
              </w:rPr>
              <w:t>количество предприятий-участников проведенных конгрессно-выставочных мероприятий в различных форматах,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67" w:right="-31" w:hanging="0"/>
              <w:jc w:val="center"/>
              <w:rPr>
                <w:rFonts w:eastAsia="Times New Roman" w:cs="Times New Roman"/>
                <w:color w:val="FF0000"/>
                <w:sz w:val="22"/>
                <w:lang w:eastAsia="ru-RU"/>
              </w:rPr>
            </w:pPr>
            <w:r>
              <w:rPr>
                <w:rFonts w:eastAsia="Times New Roman" w:cs="Times New Roman"/>
                <w:sz w:val="22"/>
                <w:lang w:eastAsia="ru-RU"/>
              </w:rPr>
              <w:t>21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left="-67" w:right="-31" w:hanging="0"/>
              <w:jc w:val="center"/>
              <w:rPr>
                <w:rFonts w:eastAsia="Times New Roman" w:cs="Times New Roman"/>
                <w:sz w:val="22"/>
                <w:lang w:eastAsia="ru-RU"/>
              </w:rPr>
            </w:pPr>
            <w:r>
              <w:rPr>
                <w:rFonts w:eastAsia="Times New Roman" w:cs="Times New Roman"/>
                <w:sz w:val="22"/>
                <w:lang w:eastAsia="ru-RU"/>
              </w:rPr>
              <w:t>менее</w:t>
            </w:r>
          </w:p>
          <w:p>
            <w:pPr>
              <w:pStyle w:val="Normal"/>
              <w:spacing w:lineRule="auto" w:line="240" w:before="0" w:after="0"/>
              <w:ind w:left="-67" w:right="-31" w:hanging="0"/>
              <w:jc w:val="center"/>
              <w:rPr>
                <w:rFonts w:eastAsia="Times New Roman" w:cs="Times New Roman"/>
                <w:color w:val="FF0000"/>
                <w:sz w:val="22"/>
                <w:lang w:eastAsia="ru-RU"/>
              </w:rPr>
            </w:pPr>
            <w:r>
              <w:rPr>
                <w:rFonts w:eastAsia="Times New Roman" w:cs="Times New Roman"/>
                <w:sz w:val="22"/>
                <w:lang w:eastAsia="ru-RU"/>
              </w:rPr>
              <w:t>23</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left="-67" w:right="-31" w:hanging="0"/>
              <w:jc w:val="center"/>
              <w:rPr>
                <w:rFonts w:eastAsia="Times New Roman" w:cs="Times New Roman"/>
                <w:sz w:val="22"/>
                <w:lang w:eastAsia="ru-RU"/>
              </w:rPr>
            </w:pPr>
            <w:r>
              <w:rPr>
                <w:rFonts w:eastAsia="Times New Roman" w:cs="Times New Roman"/>
                <w:sz w:val="22"/>
                <w:lang w:eastAsia="ru-RU"/>
              </w:rPr>
              <w:t>менее</w:t>
            </w:r>
          </w:p>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25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left="-67" w:right="-31" w:hanging="0"/>
              <w:jc w:val="center"/>
              <w:rPr>
                <w:rFonts w:eastAsia="Times New Roman" w:cs="Times New Roman"/>
                <w:sz w:val="22"/>
                <w:lang w:eastAsia="ru-RU"/>
              </w:rPr>
            </w:pPr>
            <w:r>
              <w:rPr>
                <w:rFonts w:eastAsia="Times New Roman" w:cs="Times New Roman"/>
                <w:sz w:val="22"/>
                <w:lang w:eastAsia="ru-RU"/>
              </w:rPr>
              <w:t>менее</w:t>
            </w:r>
          </w:p>
          <w:p>
            <w:pPr>
              <w:pStyle w:val="Normal"/>
              <w:spacing w:lineRule="auto" w:line="240" w:before="0" w:after="200"/>
              <w:jc w:val="center"/>
              <w:rPr>
                <w:sz w:val="22"/>
              </w:rPr>
            </w:pPr>
            <w:r>
              <w:rPr>
                <w:rFonts w:eastAsia="Times New Roman" w:cs="Times New Roman"/>
                <w:sz w:val="22"/>
                <w:lang w:eastAsia="ru-RU"/>
              </w:rPr>
              <w:t>27</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left="-67" w:right="-31" w:hanging="0"/>
              <w:jc w:val="center"/>
              <w:rPr>
                <w:rFonts w:eastAsia="Times New Roman" w:cs="Times New Roman"/>
                <w:sz w:val="22"/>
                <w:lang w:eastAsia="ru-RU"/>
              </w:rPr>
            </w:pPr>
            <w:r>
              <w:rPr>
                <w:rFonts w:eastAsia="Times New Roman" w:cs="Times New Roman"/>
                <w:sz w:val="22"/>
                <w:lang w:eastAsia="ru-RU"/>
              </w:rPr>
              <w:t>менее</w:t>
            </w:r>
          </w:p>
          <w:p>
            <w:pPr>
              <w:pStyle w:val="Normal"/>
              <w:spacing w:lineRule="auto" w:line="240" w:before="0" w:after="200"/>
              <w:ind w:left="-108" w:hanging="0"/>
              <w:jc w:val="center"/>
              <w:rPr>
                <w:sz w:val="22"/>
              </w:rPr>
            </w:pPr>
            <w:r>
              <w:rPr>
                <w:rFonts w:eastAsia="Times New Roman" w:cs="Times New Roman"/>
                <w:sz w:val="22"/>
                <w:lang w:eastAsia="ru-RU"/>
              </w:rPr>
              <w:t>30</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29.4</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Информационное взаимодействие с уполномоченными контрольно-надзорными органами в целях выработки мер по противодействию незаконному производству товаров легкой промышленности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удовлетворенности потребителей в качестве товаров легкой промышленности;</w:t>
            </w:r>
          </w:p>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ежеквартальное проведение мониторинга</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количество проведенных совместных мероприятий</w:t>
            </w:r>
            <w:r>
              <w:rPr/>
              <w:t xml:space="preserve"> </w:t>
            </w:r>
            <w:r>
              <w:rPr>
                <w:rFonts w:eastAsia="Times New Roman" w:cs="Times New Roman"/>
                <w:sz w:val="22"/>
                <w:lang w:eastAsia="ru-RU"/>
              </w:rPr>
              <w:t>по противодействию незаконному производству товаров легкой промышленности, единиц</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менее 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менее 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менее 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менее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29.5</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40" w:before="0" w:after="0"/>
              <w:rPr>
                <w:rFonts w:eastAsia="Times New Roman" w:cs="Times New Roman"/>
                <w:sz w:val="22"/>
                <w:lang w:eastAsia="ru-RU"/>
              </w:rPr>
            </w:pPr>
            <w:r>
              <w:rPr>
                <w:rFonts w:eastAsia="Times New Roman" w:cs="Times New Roman"/>
                <w:sz w:val="22"/>
                <w:lang w:eastAsia="ru-RU"/>
              </w:rPr>
              <w:t>Внедрение обязательной маркировки продукции легкой промышленности, зарегистрированной в национальной системе маркировки товаров «Честный знак»</w:t>
            </w:r>
          </w:p>
          <w:p>
            <w:pPr>
              <w:pStyle w:val="Normal"/>
              <w:shd w:val="clear" w:color="auto" w:fill="FFFFFF"/>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40" w:before="0" w:after="0"/>
              <w:rPr>
                <w:rFonts w:eastAsia="Times New Roman" w:cs="Times New Roman"/>
                <w:color w:val="000000" w:themeColor="text1"/>
                <w:sz w:val="22"/>
                <w:lang w:eastAsia="ru-RU"/>
              </w:rPr>
            </w:pPr>
            <w:r>
              <w:rPr>
                <w:rFonts w:eastAsia="Times New Roman" w:cs="Times New Roman"/>
                <w:color w:val="000000" w:themeColor="text1"/>
                <w:sz w:val="22"/>
                <w:lang w:eastAsia="ru-RU"/>
              </w:rPr>
              <w:t>борьба с контрафактной продукцией</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40" w:before="0" w:after="0"/>
              <w:ind w:left="-108" w:right="-108" w:hanging="0"/>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доля организаций, индивидуальных предпринимателей, выпускающих продукцию, подлежащую обязательной маркировке,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35" w:before="0" w:after="0"/>
              <w:ind w:hanging="5"/>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35" w:before="0" w:after="0"/>
              <w:ind w:hanging="5"/>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35" w:before="0" w:after="0"/>
              <w:ind w:hanging="5"/>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35" w:before="0" w:after="0"/>
              <w:ind w:hanging="5"/>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35" w:before="0" w:after="0"/>
              <w:ind w:hanging="5"/>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35" w:before="0" w:after="0"/>
              <w:ind w:hanging="5"/>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29.6</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pacing w:val="-2"/>
                <w:sz w:val="22"/>
                <w:lang w:eastAsia="ru-RU"/>
              </w:rPr>
            </w:pPr>
            <w:r>
              <w:rPr>
                <w:rFonts w:eastAsia="Times New Roman" w:cs="Times New Roman"/>
                <w:spacing w:val="-2"/>
                <w:sz w:val="22"/>
                <w:lang w:eastAsia="ru-RU"/>
              </w:rPr>
              <w:t xml:space="preserve">Повышение эффективности производства через внедрение процессов бережливого производства </w:t>
            </w:r>
          </w:p>
          <w:p>
            <w:pPr>
              <w:pStyle w:val="Normal"/>
              <w:spacing w:lineRule="auto" w:line="240" w:before="0" w:after="0"/>
              <w:rPr>
                <w:rFonts w:eastAsia="Times New Roman" w:cs="Times New Roman"/>
                <w:spacing w:val="-2"/>
                <w:sz w:val="22"/>
                <w:lang w:eastAsia="ru-RU"/>
              </w:rPr>
            </w:pPr>
            <w:r>
              <w:rPr>
                <w:rFonts w:eastAsia="Times New Roman" w:cs="Times New Roman"/>
                <w:spacing w:val="-2"/>
                <w:sz w:val="22"/>
                <w:lang w:eastAsia="ru-RU"/>
              </w:rPr>
            </w:r>
          </w:p>
          <w:p>
            <w:pPr>
              <w:pStyle w:val="Normal"/>
              <w:spacing w:lineRule="auto" w:line="240" w:before="0" w:after="0"/>
              <w:rPr>
                <w:rFonts w:eastAsia="Times New Roman" w:cs="Times New Roman"/>
                <w:spacing w:val="-2"/>
                <w:sz w:val="22"/>
                <w:lang w:eastAsia="ru-RU"/>
              </w:rPr>
            </w:pPr>
            <w:r>
              <w:rPr>
                <w:rFonts w:eastAsia="Times New Roman" w:cs="Times New Roman"/>
                <w:spacing w:val="-2"/>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повышение показателей производительности труда на промышленных предприятиях</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pacing w:val="-2"/>
                <w:sz w:val="22"/>
                <w:lang w:eastAsia="ru-RU"/>
              </w:rPr>
            </w:pPr>
            <w:r>
              <w:rPr>
                <w:rFonts w:eastAsia="Times New Roman" w:cs="Times New Roman"/>
                <w:spacing w:val="-2"/>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pacing w:val="-2"/>
                <w:sz w:val="22"/>
                <w:lang w:eastAsia="ru-RU"/>
              </w:rPr>
            </w:pPr>
            <w:r>
              <w:rPr>
                <w:rFonts w:eastAsia="Times New Roman" w:cs="Times New Roman"/>
                <w:sz w:val="22"/>
                <w:lang w:eastAsia="ru-RU"/>
              </w:rPr>
              <w:t xml:space="preserve">количество предприятий-участников </w:t>
            </w:r>
            <w:r>
              <w:rPr>
                <w:rFonts w:eastAsia="Times New Roman" w:cs="Times New Roman"/>
                <w:spacing w:val="-2"/>
                <w:sz w:val="22"/>
                <w:lang w:eastAsia="ru-RU"/>
              </w:rPr>
              <w:t>национального проекта «Производительность труда», единиц</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3</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6</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министерство экономики Краснодарского края, департамент промышленной политики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color w:val="FF0000"/>
                <w:sz w:val="22"/>
                <w:lang w:eastAsia="ru-RU"/>
              </w:rPr>
            </w:pPr>
            <w:r>
              <w:rPr>
                <w:rFonts w:eastAsia="Times New Roman" w:cs="Times New Roman"/>
                <w:sz w:val="22"/>
                <w:lang w:eastAsia="ru-RU"/>
              </w:rPr>
              <w:t>Рынок обработки древесины и производства изделий из дерева</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 xml:space="preserve">Доля лесопромышленного комплекса в общем объеме промышленного производства в 2020 г. составила 7,9 %. Деревообрабатывающая отрасль насчитывает более 2000 предприятий: более 30 из них относятся к крупным и средним, остальные представлены субъектами малого предпринимательства и индивидуальными предпринимателями. Занято в отрасли более 8 тысяч работников. </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 xml:space="preserve">Индексы промышленного производства за январь-декабрь 2020 г. составили: обработка древесины и производство изделий из дерева и пробки </w:t>
              <w:br/>
              <w:t>105,6 %, производство бумаги и бумажных изделий 103,4 %, производство мебели 107,5 %.</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Для динамичного развития деревообрабатывающей отрасли в первую очередь необходимо повышение производительности труда, что позволит снизить себестоимость продукции.</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Слабые темпы развития связаны, в основном с недостатком инвестиций.</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Техническое перевооружение мебельного производства должно осуществляться за счет совершенствования системы проектирования и повышения технологичности мебели; дальнейшей концентрации производства, углубления технологической специализации и межотраслевой кооперации; совершенствования технологии и внедрения перспективных технологических процессов на базе новых видов материалов; комплексной механизации и автоматизации производственных процессов.</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Технический прогресс должен идти в направлении создания и применения новых, более производительных и безотходных методов технологии деревообработки, создания новых видов конструкций выпускаемых машин, механизмов и приборов, применения более современного производительного оборудования, в том числе роботов и станков с программным управлением, механизации производственных процессов, внедрения научной организации труда и производства.</w:t>
            </w:r>
          </w:p>
          <w:p>
            <w:pPr>
              <w:pStyle w:val="Normal"/>
              <w:spacing w:lineRule="auto" w:line="240" w:before="0" w:after="0"/>
              <w:ind w:firstLine="731"/>
              <w:rPr>
                <w:rFonts w:eastAsia="Times New Roman" w:cs="Times New Roman"/>
                <w:sz w:val="22"/>
                <w:lang w:eastAsia="ru-RU"/>
              </w:rPr>
            </w:pPr>
            <w:r>
              <w:rPr>
                <w:rFonts w:eastAsia="Times New Roman" w:cs="Times New Roman"/>
                <w:sz w:val="22"/>
                <w:szCs w:val="28"/>
                <w:lang w:eastAsia="ru-RU"/>
              </w:rPr>
              <w:t>Предприятия деревообрабатывающей промышленности активно участвуют в выставочных мероприятиях, в том числе в рамках коллективного стенда промышленных предприятий Краснодарского края как на территории Российской Федерации, так и за её пределами.</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30.1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деревообрабатывающей промышленности</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eastAsia="Times New Roman" w:cs="Arial"/>
                <w:sz w:val="22"/>
                <w:lang w:eastAsia="ru-RU"/>
              </w:rPr>
            </w:pPr>
            <w:r>
              <w:rPr>
                <w:rFonts w:eastAsia="Times New Roman" w:cs="Times New Roman"/>
                <w:color w:val="000000"/>
                <w:sz w:val="22"/>
                <w:lang w:eastAsia="ru-RU"/>
              </w:rPr>
              <w:t>оказание мер государственной поддержки предприятиям де</w:t>
            </w:r>
            <w:r>
              <w:rPr>
                <w:rFonts w:eastAsia="Times New Roman" w:cs="Times New Roman"/>
                <w:sz w:val="22"/>
                <w:lang w:eastAsia="ru-RU"/>
              </w:rPr>
              <w:t>ревообрабатывающей промышленности</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обработки древесины и производства изделий из дерева,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30.2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Актуализация и ведение Каталога промышленной продукции</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доступа потребителей к информации о продукции деревообрабатывающей промышленности;</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информация на официальном сайте департамента промполитики</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информация на официальном сайте департамента промполитики,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r>
      <w:tr>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30.3</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Обеспечение возможности и равных условий хозяйствующим субъектам для участия в региональных и межрегиональных выставках-ярмарках</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размещение «календаря мероприятий» в сети «Интернет» на официальном сайте департамента промполитики; предоставление отчета о мероприятии в уполномоченный орган</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размещение «календаря мероприятий» в сети «Интернет» на официальном сайте департамента промполитики, представление отчета о мероприятии в уполномоченный орган,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30"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количество предприятий-участников проведенных конгрессно-выставочных мероприятий в различных форматах,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67" w:right="-31" w:hanging="0"/>
              <w:jc w:val="center"/>
              <w:rPr>
                <w:rFonts w:eastAsia="Times New Roman" w:cs="Times New Roman"/>
                <w:color w:val="FF0000"/>
                <w:sz w:val="22"/>
                <w:lang w:eastAsia="ru-RU"/>
              </w:rPr>
            </w:pPr>
            <w:r>
              <w:rPr>
                <w:rFonts w:eastAsia="Times New Roman" w:cs="Times New Roman"/>
                <w:sz w:val="22"/>
                <w:lang w:eastAsia="ru-RU"/>
              </w:rPr>
              <w:t>17</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 xml:space="preserve"> </w:t>
            </w:r>
            <w:r>
              <w:rPr>
                <w:rFonts w:eastAsia="Times New Roman" w:cs="Times New Roman"/>
                <w:color w:val="000000" w:themeColor="text1"/>
                <w:sz w:val="22"/>
                <w:lang w:eastAsia="ru-RU"/>
              </w:rPr>
              <w:t xml:space="preserve">не </w:t>
            </w:r>
          </w:p>
          <w:p>
            <w:pPr>
              <w:pStyle w:val="Normal"/>
              <w:spacing w:lineRule="auto" w:line="240" w:before="0" w:after="0"/>
              <w:ind w:left="-67" w:right="-31" w:hanging="0"/>
              <w:jc w:val="center"/>
              <w:rPr>
                <w:rFonts w:eastAsia="Times New Roman" w:cs="Times New Roman"/>
                <w:color w:val="FF0000"/>
                <w:sz w:val="22"/>
                <w:lang w:eastAsia="ru-RU"/>
              </w:rPr>
            </w:pPr>
            <w:r>
              <w:rPr>
                <w:rFonts w:eastAsia="Times New Roman" w:cs="Times New Roman"/>
                <w:color w:val="000000" w:themeColor="text1"/>
                <w:sz w:val="22"/>
                <w:lang w:eastAsia="ru-RU"/>
              </w:rPr>
              <w:t xml:space="preserve">менее </w:t>
              <w:br/>
              <w:t>19</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менее </w:t>
              <w:br/>
              <w:t>21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ind w:left="-108" w:hanging="0"/>
              <w:jc w:val="center"/>
              <w:rPr>
                <w:sz w:val="22"/>
              </w:rPr>
            </w:pPr>
            <w:r>
              <w:rPr>
                <w:rFonts w:eastAsia="Times New Roman" w:cs="Times New Roman"/>
                <w:sz w:val="22"/>
                <w:lang w:eastAsia="ru-RU"/>
              </w:rPr>
              <w:t>не</w:t>
              <w:br/>
              <w:t>менее 23</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ind w:left="-108" w:hanging="0"/>
              <w:jc w:val="center"/>
              <w:rPr>
                <w:sz w:val="22"/>
              </w:rPr>
            </w:pPr>
            <w:r>
              <w:rPr>
                <w:rFonts w:eastAsia="Times New Roman" w:cs="Times New Roman"/>
                <w:sz w:val="22"/>
                <w:lang w:eastAsia="ru-RU"/>
              </w:rPr>
              <w:t>не</w:t>
              <w:br/>
              <w:t xml:space="preserve">менее </w:t>
              <w:br/>
              <w:t>25</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contextualSpacing/>
              <w:jc w:val="center"/>
              <w:rPr>
                <w:rFonts w:eastAsia="Times New Roman" w:cs="Times New Roman"/>
                <w:color w:val="FF0000"/>
                <w:sz w:val="22"/>
                <w:lang w:eastAsia="ru-RU"/>
              </w:rPr>
            </w:pPr>
            <w:r>
              <w:rPr>
                <w:rFonts w:eastAsia="Times New Roman" w:cs="Times New Roman"/>
                <w:sz w:val="22"/>
                <w:lang w:eastAsia="ru-RU"/>
              </w:rPr>
              <w:t xml:space="preserve">Рынок производства кирпича </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 xml:space="preserve">Кирпич остается традиционным стеновым материалом, но его высокая стоимость и длительность цикла строительных работ приводят к повсеместному вытеснению многоэтажного кирпичного строительства новыми технологиями монолитного и сборно-монолитного строительства. Тем не менее кирпич останется популярным и востребованным строительным материалом в области индивидуального строительства и монолитно-кирпичного домостроения. Несмотря на появление новых материалов, керамический кирпич превосходит газобетон по теплоизоляции и эстетическим параметрам. </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За 2020 год произведено кирпича керамического строительного 465,9 млн штук условного кирпича при темпе роста 99,9 %.</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На территории Краснодарского края осуществляют деятельность более 10 крупных и средних предприятий. Крупнейшим предприятием по производству керамического кирпича на Юге России является ОАО «Славянский кирпич», включающее 2 кирпичных завода с общей производственной мощностью 140 млн штук условного кирпича в год или 30 % от совокупного производства в крае.</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Административных барьеров для входа на рынок частного бизнеса нет.</w:t>
            </w:r>
          </w:p>
          <w:p>
            <w:pPr>
              <w:pStyle w:val="Normal"/>
              <w:spacing w:lineRule="auto" w:line="240" w:before="0" w:after="0"/>
              <w:ind w:firstLine="731"/>
              <w:rPr>
                <w:rFonts w:eastAsia="Times New Roman" w:cs="Times New Roman"/>
                <w:sz w:val="22"/>
                <w:lang w:eastAsia="ru-RU"/>
              </w:rPr>
            </w:pPr>
            <w:r>
              <w:rPr>
                <w:rFonts w:eastAsia="Times New Roman" w:cs="Times New Roman"/>
                <w:sz w:val="22"/>
                <w:szCs w:val="28"/>
                <w:lang w:eastAsia="ru-RU"/>
              </w:rPr>
              <w:t>На официальном сайте департамента промышленной политики размещён Каталог строительных материалов. Предприятия участвуют в выставочных мероприятиях в рамках коллективного стенда промышленных предприятий Краснодарского края.</w:t>
            </w:r>
            <w:r>
              <w:rPr>
                <w:rFonts w:eastAsia="Times New Roman" w:cs="Times New Roman"/>
                <w:sz w:val="22"/>
                <w:lang w:eastAsia="ru-RU"/>
              </w:rPr>
              <w:t xml:space="preserve">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31.1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промышленности строительных материалов</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eastAsia="Times New Roman" w:cs="Arial"/>
                <w:sz w:val="22"/>
                <w:lang w:eastAsia="ru-RU"/>
              </w:rPr>
            </w:pPr>
            <w:r>
              <w:rPr>
                <w:rFonts w:eastAsia="Times New Roman" w:cs="Times New Roman"/>
                <w:color w:val="000000"/>
                <w:sz w:val="22"/>
                <w:lang w:eastAsia="ru-RU"/>
              </w:rPr>
              <w:t>оказание мер государственной поддержки предприятиям промышленности строительных материалов</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производства кирпича,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31.2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Актуализация и ведение Каталога строительных материалов</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обеспечение доступа потребителей к информации о строительных материалах, изделиях и конструкциях, производимых в Краснодарском крае;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информация на официальном сайте департамента промполитики</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информация на официальном сайте департамента промполитики,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31.3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Повышение информированности участников рынка об инвестиционной деятельности в регионе по направлению строительства</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размещение на официальном сайте департамента промполитики информации об инвестиционной деятельности в регионе по направлению строительства</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eastAsia="Times New Roman" w:cs="Arial"/>
                <w:sz w:val="22"/>
                <w:lang w:eastAsia="ru-RU"/>
              </w:rPr>
            </w:pPr>
            <w:r>
              <w:rPr>
                <w:rFonts w:eastAsia="Times New Roman" w:cs="Times New Roman"/>
                <w:sz w:val="22"/>
                <w:lang w:eastAsia="ru-RU"/>
              </w:rPr>
              <w:t>размещение на официальном сайте департамента промполитики и на интернет-портале информации об инвестиционной деятельности в регионе по направлению строительства, наличие</w:t>
            </w:r>
            <w:r>
              <w:rPr>
                <w:rFonts w:eastAsia="Times New Roman" w:cs="Arial" w:ascii="Arial" w:hAnsi="Arial"/>
                <w:sz w:val="22"/>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31.4</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Обеспечение возможности и равных условий хозяйствующим субъектам для участия в региональных и межрегиональных выставках-ярмарках </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размещение «календаря мероприятий» в сети «Интернет» на официальном сайте департамента промполитики; предоставление отчета о мероприятии в уполномоченный орган</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08" w:right="-108" w:hanging="0"/>
              <w:jc w:val="center"/>
              <w:rPr>
                <w:rFonts w:eastAsia="Times New Roman" w:cs="Times New Roman"/>
                <w:b/>
                <w:b/>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размещение «календаря мероприятий» в сети «Интернет» на официальном сайте департамента промполитики, предоставление отчета в уполномоченный орган,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highlight w:val="yellow"/>
                <w:lang w:eastAsia="ru-RU"/>
              </w:rPr>
            </w:pPr>
            <w:r>
              <w:rPr>
                <w:rFonts w:eastAsia="Times New Roman" w:cs="Times New Roman"/>
                <w:sz w:val="22"/>
                <w:lang w:eastAsia="ru-RU"/>
              </w:rPr>
              <w:t>количество предприятий-участников проведенных конгрессно-выставочных мероприятий в различных форматах,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67" w:right="-31" w:hanging="0"/>
              <w:jc w:val="center"/>
              <w:rPr>
                <w:rFonts w:eastAsia="Times New Roman" w:cs="Times New Roman"/>
                <w:color w:val="FF0000"/>
                <w:sz w:val="22"/>
                <w:lang w:eastAsia="ru-RU"/>
              </w:rPr>
            </w:pPr>
            <w:r>
              <w:rPr>
                <w:rFonts w:eastAsia="Times New Roman" w:cs="Times New Roman"/>
                <w:sz w:val="22"/>
                <w:lang w:eastAsia="ru-RU"/>
              </w:rPr>
              <w:t>8</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 xml:space="preserve">не </w:t>
            </w:r>
          </w:p>
          <w:p>
            <w:pPr>
              <w:pStyle w:val="Normal"/>
              <w:spacing w:lineRule="auto" w:line="240" w:before="0" w:after="0"/>
              <w:ind w:left="-67" w:right="-31" w:hanging="0"/>
              <w:jc w:val="center"/>
              <w:rPr>
                <w:rFonts w:eastAsia="Times New Roman" w:cs="Times New Roman"/>
                <w:sz w:val="22"/>
                <w:lang w:eastAsia="ru-RU"/>
              </w:rPr>
            </w:pPr>
            <w:r>
              <w:rPr>
                <w:rFonts w:eastAsia="Times New Roman" w:cs="Times New Roman"/>
                <w:sz w:val="22"/>
                <w:lang w:eastAsia="ru-RU"/>
              </w:rPr>
              <w:t xml:space="preserve">менее </w:t>
              <w:br/>
              <w:t>10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менее </w:t>
              <w:br/>
              <w:t>12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ind w:left="-108" w:hanging="0"/>
              <w:jc w:val="center"/>
              <w:rPr>
                <w:sz w:val="22"/>
              </w:rPr>
            </w:pPr>
            <w:r>
              <w:rPr>
                <w:rFonts w:eastAsia="Times New Roman" w:cs="Times New Roman"/>
                <w:sz w:val="22"/>
                <w:lang w:eastAsia="ru-RU"/>
              </w:rPr>
              <w:t>не</w:t>
              <w:br/>
              <w:t>менее 14</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ind w:left="-108" w:hanging="0"/>
              <w:jc w:val="center"/>
              <w:rPr>
                <w:sz w:val="22"/>
              </w:rPr>
            </w:pPr>
            <w:r>
              <w:rPr>
                <w:rFonts w:eastAsia="Times New Roman" w:cs="Times New Roman"/>
                <w:sz w:val="22"/>
                <w:lang w:eastAsia="ru-RU"/>
              </w:rPr>
              <w:t>не</w:t>
              <w:br/>
              <w:t xml:space="preserve">менее </w:t>
              <w:br/>
              <w:t>16</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31.5</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35" w:before="0" w:after="0"/>
              <w:ind w:hanging="5"/>
              <w:rPr>
                <w:rFonts w:eastAsia="Times New Roman" w:cs="Times New Roman"/>
                <w:sz w:val="22"/>
                <w:lang w:eastAsia="ru-RU"/>
              </w:rPr>
            </w:pPr>
            <w:r>
              <w:rPr>
                <w:rFonts w:eastAsia="Times New Roman" w:cs="Times New Roman"/>
                <w:sz w:val="22"/>
                <w:lang w:eastAsia="ru-RU"/>
              </w:rPr>
              <w:t>Расширение ассортимента выпускаемой продукции</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35" w:before="0" w:after="0"/>
              <w:ind w:hanging="5"/>
              <w:rPr>
                <w:rFonts w:eastAsia="Times New Roman" w:cs="Times New Roman"/>
                <w:sz w:val="22"/>
                <w:lang w:eastAsia="ru-RU"/>
              </w:rPr>
            </w:pPr>
            <w:r>
              <w:rPr>
                <w:rFonts w:eastAsia="Times New Roman" w:cs="Times New Roman"/>
                <w:sz w:val="22"/>
                <w:lang w:eastAsia="ru-RU"/>
              </w:rPr>
              <w:t>повышение конкуренции и качества товара на товарном рынке</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spacing w:lineRule="auto" w:line="240" w:before="0" w:after="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доля выпуска производителями нового вида кирпича от общего объёма его производства на территории края,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color w:val="FF0000"/>
                <w:sz w:val="22"/>
                <w:lang w:eastAsia="ru-RU"/>
              </w:rPr>
            </w:pPr>
            <w:r>
              <w:rPr>
                <w:rFonts w:eastAsia="Times New Roman" w:cs="Times New Roman"/>
                <w:sz w:val="22"/>
                <w:lang w:eastAsia="ru-RU"/>
              </w:rPr>
              <w:t>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ind w:left="22" w:firstLine="338"/>
              <w:contextualSpacing/>
              <w:jc w:val="center"/>
              <w:rPr>
                <w:rFonts w:eastAsia="Times New Roman" w:cs="Times New Roman"/>
                <w:color w:val="FF0000"/>
                <w:sz w:val="22"/>
                <w:lang w:eastAsia="ru-RU"/>
              </w:rPr>
            </w:pPr>
            <w:r>
              <w:rPr>
                <w:rFonts w:eastAsia="Times New Roman" w:cs="Times New Roman"/>
                <w:sz w:val="22"/>
                <w:lang w:eastAsia="ru-RU"/>
              </w:rPr>
              <w:t xml:space="preserve">Рынок производства бетона, включая инновационные строительные материалы </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В связи с развитием строительной деятельности в Краснодарском крае спрос на строительные материалы остается высоким, в особенности на товарный бетон, который в огромном количестве потребляется строительным сектором.</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 xml:space="preserve">За 2020 год произведено товарного бетона 3266,5 тыс. куб. м. при темпе роста 99,2 %. </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В настоящее время в Краснодарском крае в рамках национального проекта «Жильё и городская среда» активно реализуются мероприятия по вводу жилья, и бетон является немаловажным строительным компонентом при возведении домов монолитной технологии.</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 xml:space="preserve">Доля частного сектора на этом рынке составляет 100 %. На сегодняшний день в Краснодарском крае осуществляют деятельность по производству товарного бетона более 16 крупных и средних предприятий частной формы собственности. </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В последнее время в строительстве активно используются различные инновационные строительные материалы. Предприятия Кубани изготавливают газобетон как для нужд крупных строительных компаний, так и для частных заказчиков. Крупнейшими производителями газобетонных блоков в крае являются ООО «Комбинат стеновых материалов Кубани», завод «Масикс», ООО «Главстрой-Усть-Лабинск».</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Административных барьеров для входа на рынок частного бизнеса нет.</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Основным фактором, ограничивающим развитие конкуренции на рынке производства бетона и изделий из него, является присутствие на рынке фальсифицированной, в том числе контрафактной, цементной продукции – основного сырья для производства бетонов.</w:t>
            </w:r>
          </w:p>
          <w:p>
            <w:pPr>
              <w:pStyle w:val="Normal"/>
              <w:spacing w:lineRule="auto" w:line="240" w:before="0" w:after="0"/>
              <w:ind w:firstLine="731"/>
              <w:rPr>
                <w:rFonts w:eastAsia="Times New Roman" w:cs="Times New Roman"/>
                <w:sz w:val="22"/>
                <w:szCs w:val="28"/>
                <w:lang w:eastAsia="ru-RU"/>
              </w:rPr>
            </w:pPr>
            <w:r>
              <w:rPr>
                <w:rFonts w:eastAsia="Times New Roman" w:cs="Times New Roman"/>
                <w:sz w:val="22"/>
                <w:szCs w:val="28"/>
                <w:lang w:eastAsia="ru-RU"/>
              </w:rPr>
              <w:t xml:space="preserve">На регион приходится около 8 – 9 % общероссийского производства цемента. По итогам 2020 года объем в Краснодарском крае произведено </w:t>
              <w:br/>
              <w:t xml:space="preserve">5,8 млн тонн цемента. </w:t>
            </w:r>
          </w:p>
          <w:p>
            <w:pPr>
              <w:pStyle w:val="Normal"/>
              <w:spacing w:lineRule="auto" w:line="240" w:before="0" w:after="0"/>
              <w:ind w:firstLine="731"/>
              <w:rPr>
                <w:rFonts w:eastAsia="Times New Roman" w:cs="Times New Roman"/>
                <w:sz w:val="22"/>
                <w:lang w:eastAsia="ru-RU"/>
              </w:rPr>
            </w:pPr>
            <w:r>
              <w:rPr>
                <w:rFonts w:eastAsia="Times New Roman" w:cs="Times New Roman"/>
                <w:sz w:val="22"/>
                <w:szCs w:val="28"/>
                <w:lang w:eastAsia="ru-RU"/>
              </w:rPr>
              <w:t>В целях снижения незаконного оборота указанной продукции на территории края департаментом промышленной политики Краснодарского края совместно с производителями цементной продукции ведется работа по выявлению мест реализации тарированного цемента. При выявлении указанных фактов информация направляется в адрес контрольно-надзорных и правоохранительных органов для принятия мер.</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32.1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промышленности строительных материалов</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eastAsia="Times New Roman" w:cs="Arial"/>
                <w:sz w:val="22"/>
                <w:lang w:eastAsia="ru-RU"/>
              </w:rPr>
            </w:pPr>
            <w:r>
              <w:rPr>
                <w:rFonts w:eastAsia="Times New Roman" w:cs="Times New Roman"/>
                <w:color w:val="000000"/>
                <w:sz w:val="22"/>
                <w:lang w:eastAsia="ru-RU"/>
              </w:rPr>
              <w:t>оказание мер государственной поддержки предприятиям промышленности строительных материалов</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производства бетона, включая инновационные строительные материалы,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32.2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Актуализация и ведение Каталога строительных материалов</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доступа потребителей к информации о строительных материалах, изделиях и конструкций, производимых в Краснодарском крае;</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информация на официальном сайте департамента промполитики</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информация на официальном сайте департамента промполитики,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rHeight w:val="2854" w:hRule="atLeast"/>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32.3</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b/>
                <w:b/>
                <w:sz w:val="22"/>
                <w:lang w:eastAsia="ru-RU"/>
              </w:rPr>
            </w:pPr>
            <w:r>
              <w:rPr>
                <w:rFonts w:eastAsia="Times New Roman" w:cs="Times New Roman"/>
                <w:sz w:val="22"/>
                <w:lang w:eastAsia="ru-RU"/>
              </w:rPr>
              <w:t>Обеспечение возможности и равных условий хозяйствующих субъектов для участия в региональных и межрегиональных выставках, организация межрегионального сотрудничества</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размещение «календаря мероприятий» в сети «Интернет» на официальном сайте департамента промполитики; предоставление отчета о мероприятии в уполномоченный орган</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размещение «календаря мероприятий» в сети «Интернет» на официальном сайте департамента промполитики, предоставление отчета в уполномоченный орган, наличие</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количество предприятий-участников проведенных конгрессно-выставочных мероприятий в различных форматах,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67" w:right="-31" w:hanging="0"/>
              <w:jc w:val="center"/>
              <w:rPr>
                <w:rFonts w:eastAsia="Times New Roman" w:cs="Times New Roman"/>
                <w:color w:val="FF0000"/>
                <w:sz w:val="22"/>
                <w:lang w:eastAsia="ru-RU"/>
              </w:rPr>
            </w:pPr>
            <w:r>
              <w:rPr>
                <w:rFonts w:eastAsia="Times New Roman" w:cs="Times New Roman"/>
                <w:sz w:val="22"/>
                <w:lang w:eastAsia="ru-RU"/>
              </w:rPr>
              <w:t>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left="-67" w:right="-31" w:hanging="0"/>
              <w:jc w:val="center"/>
              <w:rPr>
                <w:rFonts w:eastAsia="Times New Roman" w:cs="Times New Roman"/>
                <w:sz w:val="22"/>
                <w:lang w:eastAsia="ru-RU"/>
              </w:rPr>
            </w:pPr>
            <w:r>
              <w:rPr>
                <w:rFonts w:eastAsia="Times New Roman" w:cs="Times New Roman"/>
                <w:sz w:val="22"/>
                <w:lang w:eastAsia="ru-RU"/>
              </w:rPr>
              <w:t xml:space="preserve">менее </w:t>
              <w:br/>
              <w:t>5</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не </w:t>
            </w:r>
          </w:p>
          <w:p>
            <w:pPr>
              <w:pStyle w:val="Normal"/>
              <w:spacing w:lineRule="auto" w:line="240" w:before="0" w:after="0"/>
              <w:ind w:left="-108" w:right="-31" w:hanging="0"/>
              <w:jc w:val="center"/>
              <w:rPr>
                <w:rFonts w:eastAsia="Times New Roman" w:cs="Times New Roman"/>
                <w:sz w:val="22"/>
                <w:lang w:eastAsia="ru-RU"/>
              </w:rPr>
            </w:pPr>
            <w:r>
              <w:rPr>
                <w:rFonts w:eastAsia="Times New Roman" w:cs="Times New Roman"/>
                <w:sz w:val="22"/>
                <w:lang w:eastAsia="ru-RU"/>
              </w:rPr>
              <w:t xml:space="preserve">менее </w:t>
              <w:br/>
              <w:t>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hanging="0"/>
              <w:jc w:val="center"/>
              <w:rPr>
                <w:rFonts w:eastAsia="Times New Roman" w:cs="Times New Roman"/>
                <w:sz w:val="22"/>
                <w:lang w:eastAsia="ru-RU"/>
              </w:rPr>
            </w:pPr>
            <w:r>
              <w:rPr>
                <w:rFonts w:eastAsia="Times New Roman" w:cs="Times New Roman"/>
                <w:sz w:val="22"/>
                <w:lang w:eastAsia="ru-RU"/>
              </w:rPr>
              <w:t>не</w:t>
              <w:br/>
              <w:t xml:space="preserve">менее </w:t>
            </w:r>
          </w:p>
          <w:p>
            <w:pPr>
              <w:pStyle w:val="Normal"/>
              <w:spacing w:lineRule="auto" w:line="240" w:before="0" w:after="0"/>
              <w:ind w:left="-108" w:hanging="0"/>
              <w:jc w:val="center"/>
              <w:rPr>
                <w:sz w:val="22"/>
              </w:rPr>
            </w:pPr>
            <w:r>
              <w:rPr>
                <w:rFonts w:eastAsia="Times New Roman" w:cs="Times New Roman"/>
                <w:sz w:val="22"/>
                <w:lang w:eastAsia="ru-RU"/>
              </w:rPr>
              <w:t>7</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ind w:left="-108" w:hanging="0"/>
              <w:jc w:val="center"/>
              <w:rPr>
                <w:sz w:val="22"/>
              </w:rPr>
            </w:pPr>
            <w:r>
              <w:rPr>
                <w:rFonts w:eastAsia="Times New Roman" w:cs="Times New Roman"/>
                <w:sz w:val="22"/>
                <w:lang w:eastAsia="ru-RU"/>
              </w:rPr>
              <w:t>не</w:t>
              <w:br/>
              <w:t>менее</w:t>
              <w:br/>
              <w:t>8</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32.4</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Информирование участников рынка об инвестиционной деятельности в регионе по направлению строительства</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повышение информированности участников рынка об инвестиционной деятельности в регионе по направлению строительства</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08" w:right="-108" w:hanging="0"/>
              <w:jc w:val="center"/>
              <w:rPr>
                <w:rFonts w:eastAsia="Times New Roman" w:cs="Times New Roman"/>
                <w:b/>
                <w:b/>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размещение на официальном сайте</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департамента промполитики и на интернет-портале информации об инвестиционной деятельности в регионе по направлению строительства, наличие</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32.5</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Информационное взаимодействие с контрольно-надзорными и правоохранительными органами в целях выработки мер по противодействию незаконному обороту тарированного цемента</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SimSun" w:cs="Times New Roman"/>
                <w:sz w:val="22"/>
                <w:lang w:eastAsia="ru-RU"/>
              </w:rPr>
            </w:pPr>
            <w:r>
              <w:rPr>
                <w:rFonts w:eastAsia="Times New Roman" w:cs="Times New Roman"/>
                <w:sz w:val="22"/>
                <w:lang w:eastAsia="ru-RU"/>
              </w:rPr>
              <w:t>повышение удовлетворенности потребителей в качестве тарированного цемента;</w:t>
            </w:r>
          </w:p>
          <w:p>
            <w:pPr>
              <w:pStyle w:val="Normal"/>
              <w:widowControl w:val="false"/>
              <w:tabs>
                <w:tab w:val="clear" w:pos="708"/>
                <w:tab w:val="left" w:pos="366" w:leader="none"/>
              </w:tabs>
              <w:spacing w:lineRule="auto" w:line="240" w:before="0" w:after="0"/>
              <w:rPr>
                <w:rFonts w:eastAsia="Times New Roman" w:cs="Times New Roman"/>
                <w:sz w:val="22"/>
                <w:lang w:eastAsia="ru-RU"/>
              </w:rPr>
            </w:pPr>
            <w:r>
              <w:rPr>
                <w:rFonts w:eastAsia="Times New Roman" w:cs="Times New Roman"/>
                <w:sz w:val="22"/>
                <w:lang w:eastAsia="ru-RU"/>
              </w:rPr>
              <w:t>ежеквартальное проведение мониторинга</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366" w:leader="none"/>
              </w:tabs>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проведение мероприятий, предоставление информации в уполномоченный орган,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1771"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32.6</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pacing w:val="-2"/>
                <w:sz w:val="22"/>
                <w:lang w:eastAsia="ru-RU"/>
              </w:rPr>
            </w:pPr>
            <w:r>
              <w:rPr>
                <w:rFonts w:eastAsia="Times New Roman" w:cs="Times New Roman"/>
                <w:spacing w:val="-2"/>
                <w:sz w:val="22"/>
                <w:lang w:eastAsia="ru-RU"/>
              </w:rPr>
              <w:t>Внедрение новых технологий при производстве бетона</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повышение конкуренции и качества товара на товарном рынке</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pacing w:val="-2"/>
                <w:sz w:val="22"/>
                <w:lang w:eastAsia="ru-RU"/>
              </w:rPr>
            </w:pPr>
            <w:r>
              <w:rPr>
                <w:rFonts w:eastAsia="Times New Roman" w:cs="Times New Roman"/>
                <w:spacing w:val="-2"/>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доля выпуска производителями нового вида от общего объёма его производства на территории края,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color w:val="FF0000"/>
                <w:sz w:val="22"/>
                <w:lang w:eastAsia="ru-RU"/>
              </w:rPr>
            </w:pPr>
            <w:r>
              <w:rPr>
                <w:rFonts w:eastAsia="Times New Roman" w:cs="Times New Roman"/>
                <w:sz w:val="22"/>
                <w:lang w:eastAsia="ru-RU"/>
              </w:rPr>
              <w:t>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8</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rHeight w:val="1572"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32.7</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pacing w:val="-2"/>
                <w:sz w:val="22"/>
                <w:lang w:eastAsia="ru-RU"/>
              </w:rPr>
            </w:pPr>
            <w:r>
              <w:rPr>
                <w:rFonts w:eastAsia="Times New Roman" w:cs="Times New Roman"/>
                <w:spacing w:val="-2"/>
                <w:sz w:val="22"/>
                <w:lang w:eastAsia="ru-RU"/>
              </w:rPr>
              <w:t xml:space="preserve">Повышение эффективности производства через внедрение процессов бережливого производства </w:t>
            </w:r>
          </w:p>
          <w:p>
            <w:pPr>
              <w:pStyle w:val="Normal"/>
              <w:spacing w:lineRule="auto" w:line="240" w:before="0" w:after="0"/>
              <w:rPr>
                <w:rFonts w:eastAsia="Times New Roman" w:cs="Times New Roman"/>
                <w:spacing w:val="-2"/>
                <w:sz w:val="22"/>
                <w:lang w:eastAsia="ru-RU"/>
              </w:rPr>
            </w:pPr>
            <w:r>
              <w:rPr>
                <w:rFonts w:eastAsia="Times New Roman" w:cs="Times New Roman"/>
                <w:spacing w:val="-2"/>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повышение показателей производительности труда на промышленных предприятиях</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pacing w:val="-2"/>
                <w:sz w:val="22"/>
                <w:lang w:eastAsia="ru-RU"/>
              </w:rPr>
            </w:pPr>
            <w:r>
              <w:rPr>
                <w:rFonts w:eastAsia="Times New Roman" w:cs="Times New Roman"/>
                <w:spacing w:val="-2"/>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количество предприятий-участников </w:t>
            </w:r>
            <w:r>
              <w:rPr>
                <w:rFonts w:eastAsia="Times New Roman" w:cs="Times New Roman"/>
                <w:spacing w:val="-2"/>
                <w:sz w:val="22"/>
                <w:lang w:eastAsia="ru-RU"/>
              </w:rPr>
              <w:t>национального проекта «Производительность труда»</w:t>
            </w:r>
            <w:r>
              <w:rPr>
                <w:rFonts w:eastAsia="Times New Roman" w:cs="Times New Roman"/>
                <w:sz w:val="22"/>
                <w:lang w:eastAsia="ru-RU"/>
              </w:rPr>
              <w:t>,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6</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7</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8</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9</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департамент промышленной политики Краснодарского края </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ind w:left="22" w:firstLine="338"/>
              <w:contextualSpacing/>
              <w:jc w:val="center"/>
              <w:rPr>
                <w:rFonts w:eastAsia="Times New Roman" w:cs="Times New Roman"/>
                <w:color w:val="FF0000"/>
                <w:sz w:val="22"/>
                <w:lang w:eastAsia="ru-RU"/>
              </w:rPr>
            </w:pPr>
            <w:r>
              <w:rPr>
                <w:rFonts w:eastAsia="Times New Roman" w:cs="Times New Roman"/>
                <w:sz w:val="22"/>
                <w:lang w:eastAsia="ru-RU"/>
              </w:rPr>
              <w:t>Сфера наружной рекламы</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31"/>
              <w:rPr>
                <w:rFonts w:ascii="Calibri" w:hAnsi="Calibri" w:eastAsia="Calibri" w:cs="Liberation Serif"/>
                <w:color w:val="000000"/>
                <w:sz w:val="22"/>
                <w:lang w:eastAsia="ru-RU"/>
              </w:rPr>
            </w:pPr>
            <w:r>
              <w:rPr>
                <w:rFonts w:eastAsia="Calibri" w:cs="Times New Roman"/>
                <w:sz w:val="22"/>
                <w:lang w:eastAsia="ru-RU"/>
              </w:rPr>
              <w:t xml:space="preserve">Органами местного самоуправления разрабатываются и утверждаются </w:t>
            </w:r>
            <w:r>
              <w:rPr>
                <w:rFonts w:eastAsia="Calibri" w:cs="Liberation Serif" w:ascii="Liberation Serif" w:hAnsi="Liberation Serif"/>
                <w:color w:val="000000"/>
                <w:sz w:val="22"/>
                <w:lang w:eastAsia="ru-RU"/>
              </w:rPr>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w:t>
            </w:r>
            <w:r>
              <w:rPr>
                <w:rFonts w:eastAsia="Calibri" w:cs="Liberation Serif" w:ascii="Calibri" w:hAnsi="Calibri"/>
                <w:color w:val="000000"/>
                <w:sz w:val="22"/>
                <w:lang w:eastAsia="ru-RU"/>
              </w:rPr>
              <w:t xml:space="preserve"> </w:t>
            </w:r>
            <w:r>
              <w:rPr>
                <w:rFonts w:eastAsia="Calibri" w:cs="Times New Roman"/>
                <w:color w:val="000000"/>
                <w:sz w:val="22"/>
                <w:lang w:eastAsia="ru-RU"/>
              </w:rPr>
              <w:t>(далее – Схема размещения рекламных конструкций).</w:t>
            </w:r>
          </w:p>
          <w:p>
            <w:pPr>
              <w:pStyle w:val="Normal"/>
              <w:spacing w:lineRule="auto" w:line="240" w:before="0" w:after="0"/>
              <w:ind w:firstLine="731"/>
              <w:rPr>
                <w:rFonts w:eastAsia="Calibri" w:cs="Times New Roman"/>
                <w:sz w:val="22"/>
                <w:lang w:eastAsia="ru-RU"/>
              </w:rPr>
            </w:pPr>
            <w:r>
              <w:rPr>
                <w:rFonts w:eastAsia="Calibri" w:cs="Times New Roman"/>
                <w:sz w:val="22"/>
                <w:lang w:eastAsia="ru-RU"/>
              </w:rPr>
              <w:t>Проводятся 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w:t>
            </w:r>
          </w:p>
          <w:p>
            <w:pPr>
              <w:pStyle w:val="Normal"/>
              <w:spacing w:lineRule="auto" w:line="240" w:before="0" w:after="0"/>
              <w:ind w:firstLine="731"/>
              <w:rPr>
                <w:rFonts w:eastAsia="Calibri" w:cs="Times New Roman"/>
                <w:sz w:val="22"/>
                <w:lang w:eastAsia="ru-RU"/>
              </w:rPr>
            </w:pPr>
            <w:r>
              <w:rPr>
                <w:rFonts w:eastAsia="Calibri" w:cs="Times New Roman"/>
                <w:sz w:val="22"/>
                <w:lang w:eastAsia="ru-RU"/>
              </w:rPr>
              <w:t xml:space="preserve">Муниципальные образования Краснодарского края систематически проводят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 </w:t>
            </w:r>
          </w:p>
          <w:p>
            <w:pPr>
              <w:pStyle w:val="Normal"/>
              <w:spacing w:lineRule="auto" w:line="240" w:before="0" w:after="0"/>
              <w:ind w:firstLine="731"/>
              <w:rPr>
                <w:rFonts w:eastAsia="Calibri" w:cs="Times New Roman"/>
                <w:sz w:val="22"/>
                <w:lang w:eastAsia="ru-RU"/>
              </w:rPr>
            </w:pPr>
            <w:r>
              <w:rPr>
                <w:rFonts w:eastAsia="Calibri" w:cs="Times New Roman"/>
                <w:sz w:val="22"/>
                <w:lang w:eastAsia="ru-RU"/>
              </w:rPr>
              <w:t xml:space="preserve">Среди основных факторов, ограничивающих развитие конкуренции в сфере наружной рекламы, можно выделить: </w:t>
            </w:r>
          </w:p>
          <w:p>
            <w:pPr>
              <w:pStyle w:val="Normal"/>
              <w:spacing w:lineRule="auto" w:line="240" w:before="0" w:after="0"/>
              <w:ind w:firstLine="731"/>
              <w:rPr>
                <w:rFonts w:eastAsia="Calibri" w:cs="Times New Roman"/>
                <w:sz w:val="22"/>
                <w:lang w:eastAsia="ru-RU"/>
              </w:rPr>
            </w:pPr>
            <w:r>
              <w:rPr>
                <w:rFonts w:eastAsia="Calibri" w:cs="Times New Roman"/>
                <w:sz w:val="22"/>
                <w:lang w:eastAsia="ru-RU"/>
              </w:rPr>
              <w:t xml:space="preserve">большое количество самовольно размещенных рекламных конструкций; </w:t>
            </w:r>
          </w:p>
          <w:p>
            <w:pPr>
              <w:pStyle w:val="Normal"/>
              <w:spacing w:lineRule="auto" w:line="240" w:before="0" w:after="0"/>
              <w:ind w:firstLine="731"/>
              <w:rPr>
                <w:rFonts w:eastAsia="Calibri" w:cs="Times New Roman"/>
                <w:sz w:val="22"/>
                <w:lang w:eastAsia="ru-RU"/>
              </w:rPr>
            </w:pPr>
            <w:r>
              <w:rPr>
                <w:rFonts w:eastAsia="Calibri" w:cs="Times New Roman"/>
                <w:sz w:val="22"/>
                <w:lang w:eastAsia="ru-RU"/>
              </w:rPr>
              <w:t xml:space="preserve">ограниченное количество мест размещения рекламных конструкций, предусмотренных Схемой </w:t>
            </w:r>
            <w:r>
              <w:rPr>
                <w:rFonts w:eastAsia="Calibri" w:cs="Times New Roman"/>
                <w:color w:val="000000"/>
                <w:sz w:val="22"/>
                <w:lang w:eastAsia="ru-RU"/>
              </w:rPr>
              <w:t>размещения рекламных конструкций</w:t>
            </w:r>
            <w:r>
              <w:rPr>
                <w:rFonts w:eastAsia="Calibri" w:cs="Times New Roman"/>
                <w:sz w:val="22"/>
                <w:lang w:eastAsia="ru-RU"/>
              </w:rPr>
              <w:t xml:space="preserve">. </w:t>
            </w:r>
          </w:p>
          <w:p>
            <w:pPr>
              <w:pStyle w:val="Normal"/>
              <w:spacing w:lineRule="auto" w:line="240" w:before="0" w:after="0"/>
              <w:ind w:firstLine="731"/>
              <w:rPr>
                <w:rFonts w:eastAsia="Calibri" w:cs="Times New Roman"/>
                <w:sz w:val="22"/>
                <w:lang w:eastAsia="ru-RU"/>
              </w:rPr>
            </w:pPr>
            <w:r>
              <w:rPr>
                <w:rFonts w:eastAsia="Calibri" w:cs="Times New Roman"/>
                <w:sz w:val="22"/>
                <w:lang w:eastAsia="ru-RU"/>
              </w:rPr>
              <w:t xml:space="preserve">В настоящее время доля организаций частной формы собственности в сфере наружной рекламы составляет более 99 %. </w:t>
            </w:r>
          </w:p>
          <w:p>
            <w:pPr>
              <w:pStyle w:val="Normal"/>
              <w:spacing w:lineRule="auto" w:line="240" w:before="0" w:after="0"/>
              <w:ind w:firstLine="731"/>
              <w:rPr>
                <w:rFonts w:eastAsia="Calibri" w:cs="Times New Roman"/>
                <w:color w:val="000000"/>
                <w:sz w:val="22"/>
                <w:lang w:eastAsia="ru-RU"/>
              </w:rPr>
            </w:pPr>
            <w:r>
              <w:rPr>
                <w:rFonts w:eastAsia="Calibri" w:cs="Times New Roman"/>
                <w:color w:val="000000"/>
                <w:sz w:val="22"/>
                <w:lang w:eastAsia="ru-RU"/>
              </w:rPr>
              <w:t>Основной задачей на рынке является выявление и демонтаж незаконных рекламных конструкций и обеспечение честной конкуренции на рынке.</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33.1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Проведение оценки состояния конкурентной среды в сфере наружной рекламы</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отчет в уполномоченный орган</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наружной рекламы,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99,36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99,4</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99,5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33.2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Выявление и выдача предписаний о демонтаже самовольно установленных рекламных конструкций</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предоставление равного доступа к осуществлению деятельности для всех участников товарного рынка; повышение конкуренции и качества услуг;</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размещение информации на официальном сайте муниципального образования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b/>
                <w:b/>
                <w:sz w:val="22"/>
                <w:lang w:eastAsia="ru-RU"/>
              </w:rPr>
            </w:pPr>
            <w:r>
              <w:rPr>
                <w:rFonts w:eastAsia="Times New Roman" w:cs="Times New Roman"/>
                <w:sz w:val="22"/>
                <w:lang w:eastAsia="ru-RU"/>
              </w:rPr>
              <w:t xml:space="preserve">информация на официальном сайте муниципального образования,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33.3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Утверждение и актуализация Схемы размещения рекламных конструкций</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открытый доступ для хозяйствующих субъектов к схеме размещения рекламных конструкций;</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информация на официальном сайте муниципального образования</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b/>
                <w:b/>
                <w:sz w:val="22"/>
                <w:highlight w:val="yellow"/>
                <w:lang w:eastAsia="ru-RU"/>
              </w:rPr>
            </w:pPr>
            <w:r>
              <w:rPr>
                <w:rFonts w:eastAsia="Times New Roman" w:cs="Times New Roman"/>
                <w:sz w:val="22"/>
                <w:lang w:eastAsia="ru-RU"/>
              </w:rPr>
              <w:t xml:space="preserve">информация на официальном сайте муниципального образования,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Рынок реализации сельскохозяйственной продукции</w:t>
            </w:r>
          </w:p>
        </w:tc>
      </w:tr>
      <w:tr>
        <w:trPr>
          <w:trHeight w:val="3432"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ConsPlusNormal"/>
              <w:ind w:firstLine="738"/>
              <w:jc w:val="both"/>
              <w:rPr>
                <w:rFonts w:ascii="Times New Roman" w:hAnsi="Times New Roman" w:cs="Times New Roman"/>
                <w:sz w:val="22"/>
                <w:szCs w:val="24"/>
              </w:rPr>
            </w:pPr>
            <w:r>
              <w:rPr>
                <w:rFonts w:cs="Times New Roman" w:ascii="Times New Roman" w:hAnsi="Times New Roman"/>
                <w:sz w:val="22"/>
                <w:szCs w:val="24"/>
              </w:rPr>
              <w:t>Одним из приоритетных направлений развития агропромышленного комплекса Краснодарского края остается развитие малых форм хозяйствования. Весомый вклад в продовольственную корзину вносят субъекты малых форм хозяйствования. Ими производится треть краевого объема молока, треть мяса, две трети овощей, 93 % объемов картофеля. Опираясь на оказываемую господдержку, фермеры продолжают наращивать объемы производства сельхозпродукции. На их долю в общем объеме валового производства сельхозпродукции приходится свыше 40 %.</w:t>
            </w:r>
          </w:p>
          <w:p>
            <w:pPr>
              <w:pStyle w:val="ConsPlusNormal"/>
              <w:ind w:firstLine="738"/>
              <w:jc w:val="both"/>
              <w:rPr>
                <w:rFonts w:ascii="Times New Roman" w:hAnsi="Times New Roman" w:cs="Times New Roman"/>
                <w:sz w:val="22"/>
                <w:szCs w:val="24"/>
              </w:rPr>
            </w:pPr>
            <w:r>
              <w:rPr>
                <w:rFonts w:cs="Times New Roman" w:ascii="Times New Roman" w:hAnsi="Times New Roman"/>
                <w:sz w:val="22"/>
                <w:szCs w:val="24"/>
              </w:rPr>
              <w:t>В настоящее время активно развивается сельскохозяйственная кооперация. По состоянию на 1 января 2021 г. в Краснодарском крае зарегистрировано 169 сельскохозяйственных потребительских кооперативов, в том числе 50 новых кооперативов зарегистрировано в 2019-2020 годах на Кубани. Начинающие фермеры получают государственную поддержку, объединение усилий позволяет быть конкурентоспособными на рынке.</w:t>
            </w:r>
          </w:p>
          <w:p>
            <w:pPr>
              <w:pStyle w:val="Normal"/>
              <w:widowControl w:val="false"/>
              <w:spacing w:lineRule="auto" w:line="240" w:before="0" w:after="0"/>
              <w:ind w:firstLine="709"/>
              <w:rPr>
                <w:rFonts w:eastAsia="Times New Roman" w:cs="Times New Roman"/>
                <w:sz w:val="22"/>
                <w:szCs w:val="24"/>
                <w:lang w:eastAsia="ru-RU"/>
              </w:rPr>
            </w:pPr>
            <w:r>
              <w:rPr>
                <w:rFonts w:eastAsia="Times New Roman" w:cs="Times New Roman"/>
                <w:sz w:val="22"/>
                <w:szCs w:val="24"/>
                <w:lang w:eastAsia="ru-RU"/>
              </w:rPr>
              <w:t xml:space="preserve">Наблюдается увеличение доли реализованной сельскохозяйственной продукции кооперативами. Прирост объема сельскохозяйственной продукции, реализованной в 2020 году сельскохозяйственными потребительскими кооперативами по отношению к предыдущему году, составил 63 %. </w:t>
            </w:r>
          </w:p>
          <w:p>
            <w:pPr>
              <w:pStyle w:val="Normal"/>
              <w:widowControl w:val="false"/>
              <w:spacing w:lineRule="auto" w:line="240" w:before="0" w:after="0"/>
              <w:ind w:firstLine="709"/>
              <w:rPr>
                <w:rFonts w:eastAsia="Times New Roman" w:cs="Times New Roman"/>
                <w:sz w:val="22"/>
                <w:szCs w:val="24"/>
                <w:lang w:eastAsia="ru-RU"/>
              </w:rPr>
            </w:pPr>
            <w:r>
              <w:rPr>
                <w:rFonts w:eastAsia="Times New Roman" w:cs="Times New Roman"/>
                <w:sz w:val="22"/>
                <w:szCs w:val="24"/>
                <w:lang w:eastAsia="ru-RU"/>
              </w:rPr>
              <w:t>В регионе у фермеров предпочтительное отношение к развитию акционерного капитала: государственная поддержка, а также климатические условия региона, отличающиеся от регионов северной зоны страны, которым возделывать земельные ресурсы и вести сельскохозяйственную деятельность легче объединившись, дают возможность многим фермерам края укреплять свои позиции самостоятельно и успешно выходить на рынки продовольствия и ресурсов.</w:t>
            </w:r>
          </w:p>
          <w:p>
            <w:pPr>
              <w:pStyle w:val="Normal"/>
              <w:widowControl w:val="false"/>
              <w:spacing w:lineRule="auto" w:line="240" w:before="0" w:after="0"/>
              <w:ind w:firstLine="709"/>
              <w:rPr>
                <w:rFonts w:eastAsia="Times New Roman" w:cs="Times New Roman"/>
                <w:sz w:val="22"/>
                <w:lang w:eastAsia="ru-RU"/>
              </w:rPr>
            </w:pPr>
            <w:r>
              <w:rPr>
                <w:rFonts w:eastAsia="Times New Roman" w:cs="Times New Roman"/>
                <w:sz w:val="22"/>
                <w:szCs w:val="24"/>
                <w:lang w:eastAsia="ru-RU"/>
              </w:rPr>
              <w:t>Данные факторы свойственны для южных территорий, где каждый фермер представляет собой объединение граждан, связанных родством и (или),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 которые отличаются товарностью.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34.1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cs="Times New Roman"/>
                <w:sz w:val="22"/>
              </w:rPr>
            </w:pPr>
            <w:r>
              <w:rPr>
                <w:rFonts w:eastAsia="Times New Roman" w:cs="Times New Roman"/>
                <w:sz w:val="22"/>
                <w:lang w:eastAsia="ru-RU"/>
              </w:rPr>
              <w:t xml:space="preserve">Оказание мер государственной поддержки </w:t>
            </w:r>
            <w:r>
              <w:rPr>
                <w:rFonts w:cs="Times New Roman"/>
                <w:sz w:val="22"/>
              </w:rPr>
              <w:t xml:space="preserve">субъектов малого и среднего предпринимательства, включая крестьянские (фермерские) хозяйства и сельскохозяйственные кооперативы </w:t>
            </w:r>
          </w:p>
          <w:p>
            <w:pPr>
              <w:pStyle w:val="Normal"/>
              <w:spacing w:lineRule="auto" w:line="240" w:before="0" w:after="0"/>
              <w:ind w:right="-31" w:hanging="0"/>
              <w:rPr>
                <w:rFonts w:cs="Times New Roman"/>
                <w:sz w:val="22"/>
              </w:rPr>
            </w:pPr>
            <w:r>
              <w:rPr>
                <w:rFonts w:cs="Times New Roman"/>
                <w:sz w:val="22"/>
              </w:rPr>
            </w:r>
          </w:p>
          <w:p>
            <w:pPr>
              <w:pStyle w:val="Normal"/>
              <w:spacing w:lineRule="auto" w:line="240" w:before="0" w:after="0"/>
              <w:ind w:right="-31" w:hanging="0"/>
              <w:rPr>
                <w:rFonts w:cs="Times New Roman"/>
                <w:sz w:val="22"/>
              </w:rPr>
            </w:pPr>
            <w:r>
              <w:rPr>
                <w:rFonts w:cs="Times New Roman"/>
                <w:sz w:val="22"/>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color w:val="000000"/>
                <w:sz w:val="22"/>
                <w:lang w:eastAsia="ru-RU"/>
              </w:rPr>
              <w:t xml:space="preserve">оказание мер государственной поддержки </w:t>
            </w:r>
            <w:r>
              <w:rPr>
                <w:rFonts w:cs="Times New Roman"/>
                <w:sz w:val="22"/>
              </w:rPr>
              <w:t>субъектов малого и среднего предпринимательства, включая крестьянские (фермерские) хозяйства и сельскохозяйственные кооперативы</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cs="Times New Roman"/>
                <w:sz w:val="22"/>
              </w:rPr>
              <w:t>доля субъектов малого и среднего предпринимательства, включая крестьянские (фермерские) хозяйства и сельскохозяйственные кооперативы, в общем объеме реализации сельскохозяйственной продукции,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18</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22</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23</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34.2</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highlight w:val="cyan"/>
                <w:lang w:eastAsia="ru-RU"/>
              </w:rPr>
            </w:pPr>
            <w:r>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агропромышленного комплекса</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color w:val="000000"/>
                <w:sz w:val="22"/>
                <w:lang w:eastAsia="ru-RU"/>
              </w:rPr>
            </w:pPr>
            <w:r>
              <w:rPr>
                <w:rFonts w:cs="Times New Roman"/>
                <w:sz w:val="22"/>
              </w:rPr>
              <w:t>увеличение количества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cs="Times New Roman"/>
                <w:sz w:val="22"/>
              </w:rPr>
              <w:t>количество проведенных мероприятий, направленных на информирование населения о мерах государственной поддержки и развития,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cs="Times New Roman"/>
                <w:sz w:val="22"/>
              </w:rPr>
            </w:pPr>
            <w:r>
              <w:rPr>
                <w:rFonts w:cs="Times New Roman"/>
                <w:sz w:val="22"/>
              </w:rPr>
              <w:t xml:space="preserve">не </w:t>
            </w:r>
          </w:p>
          <w:p>
            <w:pPr>
              <w:pStyle w:val="Normal"/>
              <w:spacing w:lineRule="auto" w:line="240" w:before="0" w:after="0"/>
              <w:ind w:right="-31" w:hanging="0"/>
              <w:jc w:val="center"/>
              <w:rPr>
                <w:rFonts w:eastAsia="Times New Roman" w:cs="Times New Roman"/>
                <w:sz w:val="22"/>
                <w:lang w:eastAsia="ru-RU"/>
              </w:rPr>
            </w:pPr>
            <w:r>
              <w:rPr>
                <w:rFonts w:cs="Times New Roman"/>
                <w:sz w:val="22"/>
              </w:rPr>
              <w:t>менее</w:t>
            </w:r>
            <w:r>
              <w:rPr>
                <w:rFonts w:eastAsia="Times New Roman" w:cs="Times New Roman"/>
                <w:sz w:val="22"/>
                <w:lang w:eastAsia="ru-RU"/>
              </w:rPr>
              <w:t xml:space="preserve">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cs="Times New Roman"/>
                <w:sz w:val="22"/>
              </w:rPr>
            </w:pPr>
            <w:r>
              <w:rPr>
                <w:rFonts w:cs="Times New Roman"/>
                <w:sz w:val="22"/>
              </w:rPr>
              <w:t xml:space="preserve">не </w:t>
            </w:r>
          </w:p>
          <w:p>
            <w:pPr>
              <w:pStyle w:val="Normal"/>
              <w:spacing w:lineRule="auto" w:line="240" w:before="0" w:after="0"/>
              <w:ind w:right="-31" w:hanging="0"/>
              <w:jc w:val="center"/>
              <w:rPr>
                <w:rFonts w:eastAsia="Times New Roman" w:cs="Times New Roman"/>
                <w:sz w:val="22"/>
                <w:lang w:eastAsia="ru-RU"/>
              </w:rPr>
            </w:pPr>
            <w:r>
              <w:rPr>
                <w:rFonts w:cs="Times New Roman"/>
                <w:sz w:val="22"/>
              </w:rPr>
              <w:t>менее</w:t>
            </w:r>
            <w:r>
              <w:rPr>
                <w:rFonts w:eastAsia="Times New Roman" w:cs="Times New Roman"/>
                <w:sz w:val="22"/>
                <w:lang w:eastAsia="ru-RU"/>
              </w:rPr>
              <w:t xml:space="preserve">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cs="Times New Roman"/>
                <w:sz w:val="22"/>
              </w:rPr>
            </w:pPr>
            <w:r>
              <w:rPr>
                <w:rFonts w:cs="Times New Roman"/>
                <w:sz w:val="22"/>
              </w:rPr>
              <w:t xml:space="preserve">не </w:t>
            </w:r>
          </w:p>
          <w:p>
            <w:pPr>
              <w:pStyle w:val="Normal"/>
              <w:spacing w:lineRule="auto" w:line="240" w:before="0" w:after="0"/>
              <w:ind w:right="-31" w:hanging="0"/>
              <w:jc w:val="center"/>
              <w:rPr>
                <w:rFonts w:eastAsia="Times New Roman" w:cs="Times New Roman"/>
                <w:sz w:val="22"/>
                <w:lang w:eastAsia="ru-RU"/>
              </w:rPr>
            </w:pPr>
            <w:r>
              <w:rPr>
                <w:rFonts w:cs="Times New Roman"/>
                <w:sz w:val="22"/>
              </w:rPr>
              <w:t>менее</w:t>
            </w:r>
            <w:r>
              <w:rPr>
                <w:rFonts w:eastAsia="Times New Roman" w:cs="Times New Roman"/>
                <w:sz w:val="22"/>
                <w:lang w:eastAsia="ru-RU"/>
              </w:rPr>
              <w:t xml:space="preserve"> 20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cs="Times New Roman"/>
                <w:sz w:val="22"/>
              </w:rPr>
            </w:pPr>
            <w:r>
              <w:rPr>
                <w:rFonts w:cs="Times New Roman"/>
                <w:sz w:val="22"/>
              </w:rPr>
              <w:t xml:space="preserve">не </w:t>
            </w:r>
          </w:p>
          <w:p>
            <w:pPr>
              <w:pStyle w:val="Normal"/>
              <w:spacing w:lineRule="auto" w:line="240" w:before="0" w:after="0"/>
              <w:ind w:right="-31" w:hanging="0"/>
              <w:jc w:val="center"/>
              <w:rPr>
                <w:rFonts w:eastAsia="Times New Roman" w:cs="Times New Roman"/>
                <w:sz w:val="22"/>
                <w:lang w:eastAsia="ru-RU"/>
              </w:rPr>
            </w:pPr>
            <w:r>
              <w:rPr>
                <w:rFonts w:cs="Times New Roman"/>
                <w:sz w:val="22"/>
              </w:rPr>
              <w:t>менее</w:t>
            </w:r>
            <w:r>
              <w:rPr>
                <w:rFonts w:eastAsia="Times New Roman" w:cs="Times New Roman"/>
                <w:sz w:val="22"/>
                <w:lang w:eastAsia="ru-RU"/>
              </w:rPr>
              <w:t xml:space="preserve"> 20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cs="Times New Roman"/>
                <w:sz w:val="22"/>
              </w:rPr>
            </w:pPr>
            <w:r>
              <w:rPr>
                <w:rFonts w:cs="Times New Roman"/>
                <w:sz w:val="22"/>
              </w:rPr>
              <w:t xml:space="preserve">не </w:t>
            </w:r>
          </w:p>
          <w:p>
            <w:pPr>
              <w:pStyle w:val="Normal"/>
              <w:spacing w:lineRule="auto" w:line="240" w:before="0" w:after="0"/>
              <w:ind w:right="-31" w:hanging="0"/>
              <w:jc w:val="center"/>
              <w:rPr>
                <w:rFonts w:eastAsia="Times New Roman" w:cs="Times New Roman"/>
                <w:sz w:val="22"/>
                <w:lang w:eastAsia="ru-RU"/>
              </w:rPr>
            </w:pPr>
            <w:r>
              <w:rPr>
                <w:rFonts w:cs="Times New Roman"/>
                <w:sz w:val="22"/>
              </w:rPr>
              <w:t>менее</w:t>
            </w:r>
            <w:r>
              <w:rPr>
                <w:rFonts w:eastAsia="Times New Roman" w:cs="Times New Roman"/>
                <w:sz w:val="22"/>
                <w:lang w:eastAsia="ru-RU"/>
              </w:rPr>
              <w:t xml:space="preserve"> 20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cs="Times New Roman"/>
                <w:sz w:val="22"/>
                <w:highlight w:val="cyan"/>
              </w:rPr>
            </w:pPr>
            <w:r>
              <w:rPr>
                <w:rFonts w:cs="Times New Roman"/>
                <w:sz w:val="22"/>
                <w:highlight w:val="cyan"/>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cs="Times New Roman"/>
                <w:sz w:val="22"/>
              </w:rPr>
            </w:pPr>
            <w:r>
              <w:rPr>
                <w:rFonts w:cs="Times New Roman"/>
                <w:sz w:val="22"/>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cs="Times New Roman"/>
                <w:sz w:val="22"/>
              </w:rPr>
              <w:t>сохранение имеющихся видов государственной поддержки, за получением которых могут обратиться субъекты малого и среднего предпринимательства,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rHeight w:val="2783"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34.3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Оказание информационной и методологической помощи предпринимателям, реализующим проекты в сфере сельскохозяйственной кооперации</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отчет в уполномоченный орган</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both"/>
              <w:rPr>
                <w:rFonts w:ascii="Times New Roman" w:hAnsi="Times New Roman" w:cs="Times New Roman"/>
                <w:sz w:val="22"/>
                <w:szCs w:val="22"/>
              </w:rPr>
            </w:pPr>
            <w:r>
              <w:rPr>
                <w:rFonts w:cs="Times New Roman" w:ascii="Times New Roman" w:hAnsi="Times New Roman"/>
                <w:sz w:val="22"/>
                <w:szCs w:val="22"/>
              </w:rPr>
              <w:t>доля сельскохозяйственных потребительских кооперативов в общем объеме реализации сельскохозяйственной продукции, процентов</w:t>
            </w:r>
          </w:p>
          <w:p>
            <w:pPr>
              <w:pStyle w:val="ConsPlusNormal"/>
              <w:jc w:val="both"/>
              <w:rPr>
                <w:rFonts w:ascii="Times New Roman" w:hAnsi="Times New Roman" w:cs="Times New Roman"/>
                <w:sz w:val="22"/>
                <w:szCs w:val="22"/>
              </w:rPr>
            </w:pPr>
            <w:r>
              <w:rPr>
                <w:rFonts w:cs="Times New Roman" w:ascii="Times New Roman" w:hAnsi="Times New Roman"/>
                <w:sz w:val="22"/>
                <w:szCs w:val="22"/>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0,2</w:t>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0,3</w:t>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0,4</w:t>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0,5</w:t>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1</w:t>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rHeight w:val="1431"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34.4</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cs="Times New Roman"/>
                <w:sz w:val="22"/>
              </w:rPr>
              <w:t>Обеспечение возможности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cs="Times New Roman"/>
                <w:sz w:val="22"/>
              </w:rPr>
            </w:pPr>
            <w:r>
              <w:rPr>
                <w:rFonts w:cs="Times New Roman"/>
                <w:sz w:val="22"/>
              </w:rPr>
              <w:t>обеспечение равного доступа к мерам поддержки и распределению субсидий;</w:t>
            </w:r>
          </w:p>
          <w:p>
            <w:pPr>
              <w:pStyle w:val="Normal"/>
              <w:spacing w:lineRule="auto" w:line="240"/>
              <w:rPr>
                <w:rFonts w:cs="Times New Roman"/>
                <w:sz w:val="22"/>
              </w:rPr>
            </w:pPr>
            <w:r>
              <w:rPr>
                <w:rFonts w:cs="Times New Roman"/>
                <w:sz w:val="22"/>
              </w:rPr>
              <w:t>упрощение процедуры подачи документов на получение субсидии;</w:t>
            </w:r>
          </w:p>
          <w:p>
            <w:pPr>
              <w:pStyle w:val="Normal"/>
              <w:spacing w:lineRule="auto" w:line="240"/>
              <w:rPr>
                <w:rFonts w:cs="Times New Roman"/>
                <w:sz w:val="22"/>
              </w:rPr>
            </w:pPr>
            <w:r>
              <w:rPr>
                <w:rFonts w:cs="Times New Roman"/>
                <w:sz w:val="22"/>
              </w:rPr>
              <w:t>увеличение количества заявителей, обращающихся за получением субсидий в электронном виде</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доля заявителей, обратившихся за получением субсидий в электронном виде через государственную </w:t>
            </w:r>
            <w:r>
              <w:rPr>
                <w:rFonts w:cs="Times New Roman"/>
                <w:sz w:val="22"/>
              </w:rPr>
              <w:t>информационную систему, из общего числа заявителей на получение субсидий, процентов</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3</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7</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34.5</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Размещение на официальном сайте министерства сельского хозяйства и перерабатывающей промышленности Краснодарского края (далее также – официальный сайт Минсельхоза КК) актуальной информации о доступных мерах государственной поддержки, включая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создание условий для привлечения предприятий в указанную сферу;</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расширение рынка сбыта;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уровня информированности хозяйствующих субъектов на товарном рынке;</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равного доступа к информации о мерах государственной поддержки сельхозтоваропроизводителей</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наличие информации на официальном сайте Минсельхоза КК</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Торговля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В Краснодарском крае оборот розничной торговли в расчете на душу населения на 1 января 2021 г. составил 253 тыс. рублей (на 1 января 2019 г. - 233,9 тыс. рублей), увеличился на 8 % по сравнению с 2019 годом, превысив аналогичный показатель в среднем по России (229 тыс. рублей) на 10,5 %.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С каждым годом увеличивается количество новых торговых предприятий современных форматов, которые создают комфортную потребительскую среду в городских округах и муниципальных районах Краснодарского края, обеспечивая высокий качественный уровень торгового обслуживания.</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По состоянию на 1 января 2021 г. на территории Краснодарского края розничную торговую деятельность осуществляют более 56,1 тыс. объектов.</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Обеспеченность населения Краснодарского края площадью торговых объектов в 2020 г. составила 908,8 кв. м на 1000 жителей, на 3,2% выше, </w:t>
              <w:br/>
              <w:t xml:space="preserve">чем в 2019 г.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На розничные торговые сети в 2020 году приходилось 30,6 % розничного товарооборота края, в 2019 году – 27,2 %. 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 На территории Краснодарского края насчитывается порядка 24 тыс. объектов по реализации продовольственных товаров.</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Многообразие форматов торговли в Краснодарском крае является стимулом для развития среднего и малого бизнеса. В соответствии с утвержденными схемами размещения нестационарных торговых объектов предусмотрено к размещению более 12,1 тыс. мест, в том числе круглогодичных – 6,2 тыс., сезонных – 5,9 тыс. Темп роста оборота розничной торговли за 8 мес. 2021 г. увеличился по сравнению с 2020 годом в сопоставимых ценах на 17,3 % и составил 1147,3 млрд рублей.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Доля продажи товаров на рынках и ярмарках в 2020 году снизилась на 0,9 % (с 7,4 % в 2019 г. до 6,3 % в 2020 г.). По состоянию на 1 января 2021 г. в Краснодарском крае осуществляли деятельность 25 рынков (универсальных – 17, специализированных – 2; сельскохозяйственных – 6), функционировало 206 торговых комплексов, в том числе которые ранее функционировали как розничные рынки. По состоянию на 1 января 2021 г. в Краснодарском крае функционировало 696 ярмарок, в том числе 73 ярмарки «выходного дня». Деятельность ярмарок «выходного дня» в первую очередь направлена на обеспечение населения качественной продукцией по доступным ценам, а также на поддержку краевых сельхозтоваропроизводителей.</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В настоящее время развивается и отлаживается более эффективная и конкурентная система онлайн-заказов и интернет-покупок, которая позволяет максимально охватить часть населения.  По оперативным данным объём реализованной продукции посредством электронной и удаленной торговли в крае за 2020 год составил 2,9 % (43,5 млрд рублей), по сравнению с аналогичным периодом 2019 года (10,3 млрд руб.) доля увеличилась в 4 раза.</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Наиболее важным фактором конкурентоспособности услуг на рынке розничной торговли является высокое качество и уникальность продукции. В целях обеспечения населения Краснодарского края продукцией высокого качества и поддержки малого и среднего предпринимательства 2 раза в год организовано проведение краевого конкурса в области качества «Сделано на Кубани». На 1 января 2021 г. знак «Сделано на Кубани» присвоен 797 товарам 216 производителей (на 1 января 2019 г. – знак «Сделано на Кубани» присвоен 291 товару 105 производителей).</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На розничном рынке высокая конкурентоспособность, барьеры, препятствующие входу на рынок частного бизнеса – отсутствуют. Для поддержания высокого уровня конкурентоспособности и повышения качества товаров и услуг на данном рынке, необходимо наличие квалифицированного персонала, благоустроенной инфраструктуры и оборудования, а также применение новых способов продвижения продукции (маркетинговые стратегии) и сервисы для обеспечения логистики.</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35.1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Сбор и анализ актуальной информации о состоянии конкурентной среды на рынке торговли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отчет в уполномоченный орган</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на рынке торговли,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92,92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90,12</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90,13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29" w:hanging="0"/>
              <w:jc w:val="center"/>
              <w:rPr>
                <w:rFonts w:eastAsia="Times New Roman" w:cs="Times New Roman"/>
                <w:sz w:val="22"/>
                <w:lang w:eastAsia="ru-RU"/>
              </w:rPr>
            </w:pPr>
            <w:r>
              <w:rPr>
                <w:rFonts w:eastAsia="Times New Roman" w:cs="Times New Roman"/>
                <w:sz w:val="22"/>
                <w:lang w:eastAsia="ru-RU"/>
              </w:rPr>
              <w:t>90,14</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5" w:hanging="0"/>
              <w:jc w:val="center"/>
              <w:rPr>
                <w:rFonts w:eastAsia="Times New Roman" w:cs="Times New Roman"/>
                <w:sz w:val="22"/>
                <w:lang w:eastAsia="ru-RU"/>
              </w:rPr>
            </w:pPr>
            <w:r>
              <w:rPr>
                <w:rFonts w:eastAsia="Times New Roman" w:cs="Times New Roman"/>
                <w:sz w:val="22"/>
                <w:lang w:eastAsia="ru-RU"/>
              </w:rPr>
              <w:t>90,15</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2555"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35.2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color w:val="000000"/>
                <w:sz w:val="22"/>
                <w:lang w:eastAsia="ru-RU"/>
              </w:rPr>
              <w:t>Содействие реализации собственной выращенной продукции в личных подсобных хозяйствах, в крестьянско-фермерских хозяйствах в целях сбыта на рынках и ярмарках, в том числе ярмарках «выходного дня»</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расширение рынка сбыта путем увеличения количества торговых мест</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color w:val="000000"/>
                <w:sz w:val="22"/>
                <w:lang w:eastAsia="ru-RU"/>
              </w:rPr>
              <w:t>количество мест на рынках и ярмарках,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59" w:hanging="0"/>
              <w:jc w:val="center"/>
              <w:rPr>
                <w:rFonts w:eastAsia="Times New Roman" w:cs="Times New Roman"/>
                <w:color w:val="000000"/>
                <w:sz w:val="22"/>
                <w:lang w:eastAsia="ru-RU"/>
              </w:rPr>
            </w:pPr>
            <w:r>
              <w:rPr>
                <w:rFonts w:eastAsia="Times New Roman" w:cs="Times New Roman"/>
                <w:color w:val="000000"/>
                <w:sz w:val="22"/>
                <w:lang w:eastAsia="ru-RU"/>
              </w:rPr>
              <w:t>57500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hanging="0"/>
              <w:jc w:val="center"/>
              <w:rPr>
                <w:rFonts w:eastAsia="Times New Roman" w:cs="Times New Roman"/>
                <w:color w:val="000000"/>
                <w:sz w:val="22"/>
                <w:lang w:eastAsia="ru-RU"/>
              </w:rPr>
            </w:pPr>
            <w:r>
              <w:rPr>
                <w:rFonts w:eastAsia="Times New Roman" w:cs="Times New Roman"/>
                <w:color w:val="000000"/>
                <w:sz w:val="22"/>
                <w:lang w:eastAsia="ru-RU"/>
              </w:rPr>
              <w:t>57500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color w:val="000000"/>
                <w:sz w:val="22"/>
                <w:lang w:eastAsia="ru-RU"/>
              </w:rPr>
            </w:pPr>
            <w:r>
              <w:rPr>
                <w:rFonts w:eastAsia="Times New Roman" w:cs="Times New Roman"/>
                <w:color w:val="000000"/>
                <w:sz w:val="22"/>
                <w:lang w:eastAsia="ru-RU"/>
              </w:rPr>
              <w:t>57500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9" w:hanging="0"/>
              <w:jc w:val="center"/>
              <w:rPr>
                <w:rFonts w:eastAsia="Times New Roman" w:cs="Times New Roman"/>
                <w:color w:val="000000"/>
                <w:sz w:val="22"/>
                <w:lang w:eastAsia="ru-RU"/>
              </w:rPr>
            </w:pPr>
            <w:r>
              <w:rPr>
                <w:rFonts w:eastAsia="Times New Roman" w:cs="Times New Roman"/>
                <w:color w:val="000000"/>
                <w:sz w:val="22"/>
                <w:lang w:eastAsia="ru-RU"/>
              </w:rPr>
              <w:t>57700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5" w:right="-31" w:hanging="0"/>
              <w:jc w:val="center"/>
              <w:rPr>
                <w:rFonts w:eastAsia="Times New Roman" w:cs="Times New Roman"/>
                <w:sz w:val="22"/>
                <w:lang w:eastAsia="ru-RU"/>
              </w:rPr>
            </w:pPr>
            <w:r>
              <w:rPr>
                <w:rFonts w:eastAsia="Times New Roman" w:cs="Times New Roman"/>
                <w:sz w:val="22"/>
                <w:lang w:eastAsia="ru-RU"/>
              </w:rPr>
              <w:t>57800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35.3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color w:val="000000"/>
                <w:sz w:val="22"/>
                <w:lang w:eastAsia="ru-RU"/>
              </w:rPr>
              <w:t>Поддержка и повышение заинтересованности организаций частной формы в развитии сферы розничной торговли</w:t>
            </w:r>
            <w:r>
              <w:rPr>
                <w:rFonts w:eastAsia="Times New Roman" w:cs="Times New Roman"/>
                <w:sz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создание условий для привлечения предприятий в указанную сферу;</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расширение рынка сбыта;  </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размещение «календаря мероприятий» в сети «Интернет» на официальном сайте отраслевого органа государственной власти;</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предоставление отчета о мероприятии в уполномоченный орган</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количество привлеченных хозяйствующих субъектов для участия в мероприятиях,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200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250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300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350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400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35.4</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Содействие увеличению количества нестационарных и мобильных торговых объектов и торговых мест под них  </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увеличение количества нестационарных и мобильных торговых объектов не менее чем на 10 % к 2025 году по отношению к 2020 году</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количество нестационарных и мобильных торговых объектов, единиц</w:t>
            </w:r>
          </w:p>
        </w:tc>
        <w:tc>
          <w:tcPr>
            <w:tcW w:w="127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7709</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7809</w:t>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7909</w:t>
            </w:r>
          </w:p>
        </w:tc>
        <w:tc>
          <w:tcPr>
            <w:tcW w:w="8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8309</w:t>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8480</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35.5</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открытых опросов предпринимателей в целях определения спроса/потребности в предоставлении мест под размещение нестационарных торговых объектов (далее – НТО);</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с участием органов местного самоуправления подготовка предложений по изменению схемы размещения НТО (расширение перечня объектов);</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утверждение актуализированной схемы размещения НТО;</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разработка и утверждение программы по проведению выставок/ярмарок, включающей мероприятия по созданию торговых новых мест, снижению или освобождению от платы за их использование, размещение программы</w:t>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r>
          </w:p>
        </w:tc>
        <w:tc>
          <w:tcPr>
            <w:tcW w:w="8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35.5</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Проведение мероприятий по привлечению к обучению производителей региона к работе с платформами маркетплейсов</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расширение рынка сбыта, обеспечение взаимодействия краевых производителей и поставщиков с новыми онлайн сервисами быстрой доставки; </w:t>
              <w:br/>
              <w:t>привлечение</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самозанятых в качестве продавцов маркетплейса</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оборот интернет-торговли, млрд рублей</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50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55</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60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65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70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35.6</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Содействие повышению качества реализуемой продукции, произведенной на территории Краснодарского края, путем проведения краевого конкурса в области качества «Сделано на Кубани»</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конкуренции и качества услуг;</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размещение на упаковке товаров знака качества «Сделано на Кубани»</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количество товаров, на упаковке которых производителям дано право на безвозмездной основе размещать знак качества «Сделано на Кубани»,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color w:val="000000"/>
                <w:sz w:val="22"/>
                <w:lang w:eastAsia="ru-RU"/>
              </w:rPr>
            </w:pPr>
            <w:r>
              <w:rPr>
                <w:rFonts w:eastAsia="Times New Roman" w:cs="Times New Roman"/>
                <w:color w:val="000000"/>
                <w:sz w:val="22"/>
                <w:lang w:eastAsia="ru-RU"/>
              </w:rPr>
              <w:t>797</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color w:val="000000"/>
                <w:sz w:val="22"/>
                <w:lang w:eastAsia="ru-RU"/>
              </w:rPr>
            </w:pPr>
            <w:r>
              <w:rPr>
                <w:rFonts w:eastAsia="Times New Roman" w:cs="Times New Roman"/>
                <w:color w:val="000000"/>
                <w:sz w:val="22"/>
                <w:lang w:eastAsia="ru-RU"/>
              </w:rPr>
              <w:t>980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color w:val="000000"/>
                <w:sz w:val="22"/>
                <w:lang w:eastAsia="ru-RU"/>
              </w:rPr>
            </w:pPr>
            <w:r>
              <w:rPr>
                <w:rFonts w:eastAsia="Times New Roman" w:cs="Times New Roman"/>
                <w:color w:val="000000"/>
                <w:sz w:val="22"/>
                <w:lang w:eastAsia="ru-RU"/>
              </w:rPr>
              <w:t>1050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color w:val="000000"/>
                <w:sz w:val="22"/>
                <w:lang w:eastAsia="ru-RU"/>
              </w:rPr>
            </w:pPr>
            <w:r>
              <w:rPr>
                <w:rFonts w:eastAsia="Times New Roman" w:cs="Times New Roman"/>
                <w:color w:val="000000"/>
                <w:sz w:val="22"/>
                <w:lang w:eastAsia="ru-RU"/>
              </w:rPr>
              <w:t>1120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1200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Рынок санаторно-курортных и туристских услуг</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На сегодняшний день в Краснодарском крае насчитывается 200 организаций, оказывающих санаторно-курортные услуги лечения и оздоровления, в том числе пансионаты с лечением, детские санаторно-оздоровительные организации, 5 бальнеологических лечебниц, в которых функционирует </w:t>
              <w:br/>
              <w:t>102 бальнеологическая и 95 грязевых отделений.</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На территории Краснодарского края функционирует 56 бюветов с минеральной водой, 11 из которых является общедоступными.</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Здравницы реализуют более 500 уникальных оздоровительных и лечебных программ с использованием минеральной воды и лечебных грязей местного происхождения. </w:t>
            </w:r>
          </w:p>
          <w:p>
            <w:pPr>
              <w:pStyle w:val="Normal"/>
              <w:spacing w:lineRule="auto" w:line="240" w:before="0" w:after="0"/>
              <w:ind w:firstLine="709"/>
              <w:rPr>
                <w:rFonts w:eastAsia="Times New Roman" w:cs="Times New Roman"/>
                <w:sz w:val="22"/>
                <w:lang w:eastAsia="ru-RU"/>
              </w:rPr>
            </w:pPr>
            <w:r>
              <w:rPr>
                <w:rFonts w:eastAsia="Times New Roman" w:cs="Times New Roman"/>
                <w:color w:val="000000"/>
                <w:sz w:val="22"/>
                <w:lang w:eastAsia="ru-RU"/>
              </w:rPr>
              <w:t>В</w:t>
            </w:r>
            <w:r>
              <w:rPr>
                <w:rFonts w:eastAsia="Times New Roman" w:cs="Times New Roman"/>
                <w:sz w:val="22"/>
                <w:lang w:eastAsia="zh-CN"/>
              </w:rPr>
              <w:t xml:space="preserve"> п</w:t>
            </w:r>
            <w:r>
              <w:rPr>
                <w:rFonts w:eastAsia="Times New Roman" w:cs="Times New Roman"/>
                <w:color w:val="000000"/>
                <w:sz w:val="22"/>
                <w:lang w:eastAsia="ru-RU"/>
              </w:rPr>
              <w:t xml:space="preserve">ериод межсезонья </w:t>
            </w:r>
            <w:r>
              <w:rPr>
                <w:rFonts w:eastAsia="Times New Roman" w:cs="Times New Roman"/>
                <w:sz w:val="22"/>
                <w:lang w:eastAsia="ru-RU"/>
              </w:rPr>
              <w:t xml:space="preserve">в регионе работают около 140 санаториев, пансионатов с лечением и бальнеолечебниц. Они расположены на территории </w:t>
              <w:br/>
              <w:t xml:space="preserve">15 муниципальных образований края (город-курорт Анапа, город-курорт Геленджик, город Горячий Ключ, город-курорт Сочи, а также в Апшеронском, Лабинском, Ейском, Туапсинском, Гулькевичском и других районах).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В среднем за год услуги лечения и оздоровления в санаторно-курортных организациях Краснодарского края получает порядка 1,4 млн граждан.</w:t>
            </w:r>
          </w:p>
          <w:p>
            <w:pPr>
              <w:pStyle w:val="Normal"/>
              <w:spacing w:lineRule="auto" w:line="240" w:before="0" w:after="0"/>
              <w:ind w:firstLine="709"/>
              <w:rPr>
                <w:sz w:val="22"/>
              </w:rPr>
            </w:pPr>
            <w:r>
              <w:rPr>
                <w:sz w:val="22"/>
              </w:rPr>
              <w:t>В настоящее время количество функционирующих средств размещения составляет 8 718 объектов с емкостью 515 387 мест. Средняя заполняемость средств размещения Черноморского побережья составила – 65,27 %, Азовского побережья – 52,95 %, степной зоны и предгорья – 48,03 %, иные муниципальные образования, не относящиеся к курортным территориям – 27,4 %.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Основные проблемные вопросы, сдерживающие развитие санаторно-курортного комплекса Краснодарского края:</w:t>
            </w:r>
          </w:p>
          <w:p>
            <w:pPr>
              <w:pStyle w:val="Normal"/>
              <w:spacing w:lineRule="auto" w:line="240" w:before="0" w:after="0"/>
              <w:ind w:left="709" w:hanging="0"/>
              <w:contextualSpacing/>
              <w:rPr>
                <w:rFonts w:eastAsia="Times New Roman" w:cs="Times New Roman"/>
                <w:kern w:val="2"/>
                <w:sz w:val="22"/>
                <w:lang w:eastAsia="ru-RU"/>
              </w:rPr>
            </w:pPr>
            <w:r>
              <w:rPr>
                <w:rFonts w:eastAsia="Times New Roman" w:cs="Times New Roman"/>
                <w:kern w:val="2"/>
                <w:sz w:val="22"/>
                <w:lang w:eastAsia="ru-RU"/>
              </w:rPr>
              <w:t>недостаток либо отсутствие инвестиций, финансирования и субсидирования объектов санаторно-курортного комплекса;</w:t>
            </w:r>
          </w:p>
          <w:p>
            <w:pPr>
              <w:pStyle w:val="Normal"/>
              <w:spacing w:lineRule="auto" w:line="240" w:before="0" w:after="0"/>
              <w:ind w:left="709" w:hanging="0"/>
              <w:contextualSpacing/>
              <w:rPr>
                <w:rFonts w:eastAsia="Times New Roman" w:cs="Times New Roman"/>
                <w:kern w:val="2"/>
                <w:sz w:val="22"/>
                <w:lang w:eastAsia="ru-RU"/>
              </w:rPr>
            </w:pPr>
            <w:r>
              <w:rPr>
                <w:rFonts w:eastAsia="Times New Roman" w:cs="Times New Roman"/>
                <w:kern w:val="2"/>
                <w:sz w:val="22"/>
                <w:lang w:eastAsia="ru-RU"/>
              </w:rPr>
              <w:t>низкий уровень качества оказания гостиничных услуг, низкий уровень квалификации персонала;</w:t>
            </w:r>
          </w:p>
          <w:p>
            <w:pPr>
              <w:pStyle w:val="Normal"/>
              <w:spacing w:lineRule="auto" w:line="240" w:before="0" w:after="0"/>
              <w:ind w:left="709" w:hanging="0"/>
              <w:contextualSpacing/>
              <w:rPr>
                <w:rFonts w:eastAsia="Times New Roman" w:cs="Times New Roman"/>
                <w:kern w:val="2"/>
                <w:sz w:val="22"/>
                <w:lang w:eastAsia="ru-RU"/>
              </w:rPr>
            </w:pPr>
            <w:r>
              <w:rPr>
                <w:rFonts w:eastAsia="Times New Roman" w:cs="Times New Roman"/>
                <w:kern w:val="2"/>
                <w:sz w:val="22"/>
                <w:lang w:eastAsia="ru-RU"/>
              </w:rPr>
              <w:t>снижение уровня реальных доходов населения и вместе с тем покупательной способности потребителей санаторно-курортных услуг;</w:t>
            </w:r>
          </w:p>
          <w:p>
            <w:pPr>
              <w:pStyle w:val="Normal"/>
              <w:spacing w:lineRule="auto" w:line="240" w:before="0" w:after="0"/>
              <w:ind w:left="709" w:hanging="0"/>
              <w:contextualSpacing/>
              <w:rPr>
                <w:rFonts w:eastAsia="Times New Roman" w:cs="Times New Roman"/>
                <w:sz w:val="22"/>
                <w:lang w:eastAsia="ru-RU"/>
              </w:rPr>
            </w:pPr>
            <w:r>
              <w:rPr>
                <w:rFonts w:eastAsia="Times New Roman" w:cs="Times New Roman"/>
                <w:kern w:val="2"/>
                <w:sz w:val="22"/>
                <w:lang w:eastAsia="ru-RU"/>
              </w:rPr>
              <w:t>выраженный сезонный характер курортных и туристских предложений;</w:t>
            </w:r>
          </w:p>
          <w:p>
            <w:pPr>
              <w:pStyle w:val="Normal"/>
              <w:spacing w:lineRule="auto" w:line="240" w:before="0" w:after="0"/>
              <w:ind w:left="709" w:hanging="0"/>
              <w:contextualSpacing/>
              <w:rPr>
                <w:rFonts w:eastAsia="Times New Roman" w:cs="Times New Roman"/>
                <w:sz w:val="22"/>
                <w:lang w:eastAsia="ru-RU"/>
              </w:rPr>
            </w:pPr>
            <w:r>
              <w:rPr>
                <w:rFonts w:eastAsia="Times New Roman" w:cs="Times New Roman"/>
                <w:sz w:val="22"/>
                <w:lang w:eastAsia="ru-RU"/>
              </w:rPr>
              <w:t xml:space="preserve">присутствие представителей нелегального гостиничного бизнеса в курортной зоне Краснодарского края.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36.1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92" w:hanging="0"/>
              <w:rPr>
                <w:rFonts w:eastAsia="Times New Roman" w:cs="Times New Roman"/>
                <w:sz w:val="22"/>
                <w:lang w:eastAsia="ru-RU"/>
              </w:rPr>
            </w:pPr>
            <w:r>
              <w:rPr>
                <w:rFonts w:eastAsia="Times New Roman" w:cs="Times New Roman"/>
                <w:sz w:val="22"/>
                <w:lang w:eastAsia="ru-RU"/>
              </w:rPr>
              <w:t>Увеличение количества объектов размещения для временного проживания туристов, состоящих в отраслевом перечне санаторно-курортных и гостиничных предприятий, с целью развития конкурентной среды на рынке санаторно-курортных, гостиничных и туристских услуг</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конкуренции за счет упорядочения деятельности услуг временного размещения туристов</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количество объектов размещения для туристов, тысяч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10,2</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10,3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27" w:right="-31" w:hanging="0"/>
              <w:jc w:val="center"/>
              <w:rPr>
                <w:rFonts w:eastAsia="Times New Roman" w:cs="Times New Roman"/>
                <w:sz w:val="22"/>
                <w:lang w:eastAsia="ru-RU"/>
              </w:rPr>
            </w:pPr>
            <w:r>
              <w:rPr>
                <w:rFonts w:eastAsia="Times New Roman" w:cs="Times New Roman"/>
                <w:sz w:val="22"/>
                <w:lang w:eastAsia="ru-RU"/>
              </w:rPr>
              <w:t>10,4</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10,5</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курортов, туризма и олимпийского наследия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36.1.1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92" w:hanging="16"/>
              <w:rPr>
                <w:rFonts w:eastAsia="Times New Roman" w:cs="Times New Roman"/>
                <w:sz w:val="22"/>
                <w:lang w:eastAsia="ru-RU"/>
              </w:rPr>
            </w:pPr>
            <w:r>
              <w:rPr>
                <w:rFonts w:eastAsia="Times New Roman" w:cs="Times New Roman"/>
                <w:sz w:val="22"/>
                <w:lang w:eastAsia="ru-RU"/>
              </w:rPr>
              <w:t>Увеличение количества объектов размещения для временного проживания туристов, состоящих в отраслевом реестре санаторно-курортных и гостиничных предприятий, введенных в эксплуатацию в результате реализации инвестиционных проектов согласно протоколам о намерениях (инвестиционным соглашениям), заключенным с администрацией Краснодарского края либо министерством курортов, туризма и олимпийского наследия Краснодарского края</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конкуренции за счет роста количества объектов размещения туристов, введенных в эксплуатацию в результате реализации инвестиционных проектов</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количество объектов размещения для туристов, введенных в эксплуатацию в результате реализации инвестиционных проектов,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3</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7</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27" w:right="-31" w:hanging="0"/>
              <w:jc w:val="center"/>
              <w:rPr>
                <w:rFonts w:eastAsia="Times New Roman" w:cs="Times New Roman"/>
                <w:sz w:val="22"/>
                <w:lang w:eastAsia="ru-RU"/>
              </w:rPr>
            </w:pPr>
            <w:r>
              <w:rPr>
                <w:rFonts w:eastAsia="Times New Roman" w:cs="Times New Roman"/>
                <w:sz w:val="22"/>
                <w:lang w:eastAsia="ru-RU"/>
              </w:rPr>
              <w:t>3</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4</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курортов, туризма и олимпийского наследия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36.2</w:t>
            </w:r>
          </w:p>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92" w:hanging="0"/>
              <w:jc w:val="left"/>
              <w:rPr>
                <w:rFonts w:eastAsia="Times New Roman" w:cs="Times New Roman"/>
                <w:sz w:val="22"/>
                <w:lang w:eastAsia="ru-RU"/>
              </w:rPr>
            </w:pPr>
            <w:r>
              <w:rPr>
                <w:rFonts w:eastAsia="Times New Roman" w:cs="Times New Roman"/>
                <w:sz w:val="22"/>
                <w:lang w:eastAsia="ru-RU"/>
              </w:rPr>
              <w:t xml:space="preserve">Продвижение санаторно-курортного потенциала Краснодарского края </w:t>
            </w:r>
          </w:p>
          <w:p>
            <w:pPr>
              <w:pStyle w:val="Normal"/>
              <w:spacing w:lineRule="auto" w:line="240" w:before="0" w:after="0"/>
              <w:ind w:left="-92" w:hanging="0"/>
              <w:jc w:val="left"/>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разработка и утверждение плана обучающих и презентационных мероприятий;</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информирование отраслевых предприятий о мерах господдержки;</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количество проведенных мероприятий,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25</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27" w:right="-31" w:hanging="0"/>
              <w:jc w:val="center"/>
              <w:rPr>
                <w:rFonts w:eastAsia="Times New Roman" w:cs="Times New Roman"/>
                <w:sz w:val="22"/>
                <w:lang w:eastAsia="ru-RU"/>
              </w:rPr>
            </w:pPr>
            <w:r>
              <w:rPr>
                <w:rFonts w:eastAsia="Times New Roman" w:cs="Times New Roman"/>
                <w:sz w:val="22"/>
                <w:lang w:eastAsia="ru-RU"/>
              </w:rPr>
              <w:t>25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25</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курортов, туризма и олимпийского наследия Краснодарского края</w:t>
            </w:r>
          </w:p>
        </w:tc>
      </w:tr>
      <w:tr>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количество презентаций,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 xml:space="preserve">5 </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5</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курортов, туризма и олимпийского наследия Краснодарского края</w:t>
            </w:r>
          </w:p>
        </w:tc>
      </w:tr>
      <w:tr>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реализация мероприятий по организации классификации средств размещения </w:t>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количество средств размещения высшей категории - 4 и 5 звезд,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223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224</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225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226</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227</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курортов, туризма и олимпийского наследия Краснодарского края</w:t>
            </w:r>
          </w:p>
        </w:tc>
      </w:tr>
      <w:tr>
        <w:trPr>
          <w:trHeight w:val="1005"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36.3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 xml:space="preserve">Принятие мер по обеспечению доступного, качественного отдыха и оздоровления населения в период низкого сезона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повышение заполняемости предприятий санаторно-курортного комплекса Краснодарского края в низкий сезон;</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повышение конкуренции и качества услуг на товарном рынке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количество санаторно-курортных организаций, участвующих в краевой маркетинговой программе «Южная здравница», единиц</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35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35</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35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35</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35</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курортов, туризма и олимпийского наследия Краснодарского края</w:t>
            </w:r>
          </w:p>
        </w:tc>
      </w:tr>
      <w:tr>
        <w:trPr>
          <w:trHeight w:val="1541" w:hRule="atLeast"/>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36.4</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Повышение конкурент-носпособности санаторно-курортного комплекса Краснодарского края </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реализация Концепции развития санаторно-курортной и туристской отрасли</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туристский поток всего, тыс. человек</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16 600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17 000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17 324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18 999</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19 000</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курортов, туризма и олимпийского наследия Краснодарского края</w:t>
            </w:r>
          </w:p>
        </w:tc>
      </w:tr>
      <w:tr>
        <w:trPr>
          <w:trHeight w:val="972" w:hRule="atLeast"/>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38" w:right="-31" w:hanging="0"/>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в том числе количество оздоровленных граждан в санаторно-курортных организациях, оказывающих услуги лечения и оздоровления, тыс. человек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1 456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1 470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1 520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1 619</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7" w:right="-31" w:hanging="0"/>
              <w:jc w:val="center"/>
              <w:rPr>
                <w:rFonts w:eastAsia="Times New Roman" w:cs="Times New Roman"/>
                <w:sz w:val="22"/>
                <w:lang w:eastAsia="ru-RU"/>
              </w:rPr>
            </w:pPr>
            <w:r>
              <w:rPr>
                <w:rFonts w:eastAsia="Times New Roman" w:cs="Times New Roman"/>
                <w:sz w:val="22"/>
                <w:lang w:eastAsia="ru-RU"/>
              </w:rPr>
              <w:t>1 650</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Рынок композитных материалов</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На рынке композитных материалов Краснодарского края осуществляют деятельность более 20 промышленных предприятий. Предприятия производят широкий ассортимент продукции, в том числе композитную арматуру, поддерживающие колья для растений, трубные системы из композитных материалов, бассейны, купели, стеклопластиковую армирующую сетку дорожную и кладочную для стяжки и штукатурки.</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Для Краснодарского края развитие отрасли производства композитов имеет важное значение. Внедрение и широкое применение инновационных изделий и конструкций из композитных материалов сможет обеспечить не только полноценное развитие композитной отрасли в крае, но и важнейших отраслей-потребителей: сельского хозяйства, химии и нефтехимии, энергетического и строительного комплексов.</w:t>
            </w:r>
          </w:p>
          <w:p>
            <w:pPr>
              <w:pStyle w:val="Normal"/>
              <w:spacing w:lineRule="auto" w:line="240" w:before="0" w:after="0"/>
              <w:ind w:firstLine="709"/>
              <w:rPr>
                <w:rFonts w:eastAsia="Times New Roman" w:cs="Times New Roman"/>
                <w:sz w:val="22"/>
                <w:szCs w:val="28"/>
                <w:lang w:eastAsia="ru-RU"/>
              </w:rPr>
            </w:pPr>
            <w:r>
              <w:rPr>
                <w:rFonts w:eastAsia="Times New Roman" w:cs="Times New Roman"/>
                <w:sz w:val="22"/>
                <w:szCs w:val="28"/>
                <w:lang w:eastAsia="ru-RU"/>
              </w:rPr>
              <w:t>С целью содействия продвижению на рынке продукции композитной отрасли, ООО «Рио-Рита» – производитель стеклопластиковой композитной арматуры, представляло Краснодарский край в этом сегменте на Международной архитектурно-строительной выставке «YugBuild 2020», проходившей в г. Краснодаре с 26 по 29 февраля 2020 г. Информация о деятельности этого предприятия размещена в Каталоге производителей промышленной продукции для благоустройства и формирования комфортной городской среды 2020.</w:t>
            </w:r>
          </w:p>
          <w:p>
            <w:pPr>
              <w:pStyle w:val="Normal"/>
              <w:spacing w:lineRule="auto" w:line="240" w:before="0" w:after="0"/>
              <w:ind w:firstLine="709"/>
              <w:rPr>
                <w:rFonts w:eastAsia="Times New Roman" w:cs="Times New Roman"/>
                <w:sz w:val="22"/>
                <w:lang w:eastAsia="ru-RU"/>
              </w:rPr>
            </w:pPr>
            <w:r>
              <w:rPr>
                <w:rFonts w:eastAsia="Times New Roman" w:cs="Times New Roman"/>
                <w:sz w:val="22"/>
                <w:szCs w:val="28"/>
                <w:lang w:eastAsia="ru-RU"/>
              </w:rPr>
              <w:t>Основной проблемой является недостаточный объём рынка сбыта. Также предприятия отмечают необходимость подготовки проектировщиков и инженеров, специализирующихся на работе с указанными материалами.</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37.1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Сбор и анализ актуальной информации о состоянии конкурентной среды на рынке композитных материалов</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отчет в уполномоченный орган</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на рынке композитных материалов,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37.2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на рынке композитных материалов</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eastAsia="Times New Roman" w:cs="Arial"/>
                <w:sz w:val="22"/>
                <w:lang w:eastAsia="ru-RU"/>
              </w:rPr>
            </w:pPr>
            <w:r>
              <w:rPr>
                <w:rFonts w:eastAsia="Times New Roman" w:cs="Times New Roman"/>
                <w:color w:val="000000"/>
                <w:sz w:val="22"/>
                <w:lang w:eastAsia="ru-RU"/>
              </w:rPr>
              <w:t xml:space="preserve">оказание мер государственной поддержки предприятиям </w:t>
            </w:r>
            <w:r>
              <w:rPr>
                <w:rFonts w:eastAsia="Times New Roman" w:cs="Times New Roman"/>
                <w:sz w:val="22"/>
                <w:lang w:eastAsia="ru-RU"/>
              </w:rPr>
              <w:t>композитных материалов</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информационный ресурс в сети «Интернет» по организационно-методической поддержке предпринимателей,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rHeight w:val="247" w:hRule="atLeast"/>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Normal"/>
              <w:numPr>
                <w:ilvl w:val="0"/>
                <w:numId w:val="1"/>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Рынок продукции машиностроения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ListParagraph"/>
              <w:shd w:val="clear" w:color="auto" w:fill="FFFFFF"/>
              <w:spacing w:lineRule="auto" w:line="240" w:before="0" w:after="0"/>
              <w:ind w:left="0" w:firstLine="743"/>
              <w:contextualSpacing/>
              <w:rPr>
                <w:rFonts w:eastAsia="Times New Roman"/>
                <w:sz w:val="22"/>
                <w:szCs w:val="28"/>
                <w:lang w:eastAsia="ru-RU"/>
              </w:rPr>
            </w:pPr>
            <w:r>
              <w:rPr>
                <w:rFonts w:eastAsia="Times New Roman"/>
                <w:sz w:val="22"/>
                <w:szCs w:val="28"/>
                <w:lang w:eastAsia="ru-RU"/>
              </w:rPr>
              <w:t>Отрасли машиностроения Краснодарского края включают производство машин и оборудования, транспортных средств, электрооборудования, электронных и оптических изделий, а также ремонт и монтаж машин и оборудования. Машиностроение представлено порядка 3 тысячами промышленных предприятий с общей численностью работников более 36 тысяч человек.</w:t>
            </w:r>
          </w:p>
          <w:p>
            <w:pPr>
              <w:pStyle w:val="ListParagraph"/>
              <w:shd w:val="clear" w:color="auto" w:fill="FFFFFF"/>
              <w:spacing w:lineRule="auto" w:line="240" w:before="0" w:after="0"/>
              <w:ind w:left="0" w:firstLine="743"/>
              <w:contextualSpacing/>
              <w:rPr>
                <w:rFonts w:eastAsia="Times New Roman"/>
                <w:sz w:val="22"/>
                <w:szCs w:val="28"/>
                <w:lang w:eastAsia="ru-RU"/>
              </w:rPr>
            </w:pPr>
            <w:r>
              <w:rPr>
                <w:rFonts w:eastAsia="Times New Roman"/>
                <w:sz w:val="22"/>
                <w:szCs w:val="28"/>
                <w:lang w:eastAsia="ru-RU"/>
              </w:rPr>
              <w:t>Крупнейшими машиностроительными предприятиями Краснодарского края являются ООО «КЛААС», АО «Краснодарский приборный завод «Каскад», ОАО «Тихорецкий машиностроительный завод им. В.В. Воровского», АО «Сатурн», ОАО «Краснодарский завод «Нефтемаш», «Армавирский электромеханический завод» – филиал ОАО «ЭЛТЕЗА», ЗАО «Кропоткинский завод МиССП», АО «Кубаньжелдормаш», АО «275 авиационный ремонтный завод», ООО «Южный завод тяжелого станкостроения» и другие.</w:t>
            </w:r>
          </w:p>
          <w:p>
            <w:pPr>
              <w:pStyle w:val="ListParagraph"/>
              <w:shd w:val="clear" w:color="auto" w:fill="FFFFFF"/>
              <w:spacing w:lineRule="auto" w:line="240" w:before="0" w:after="0"/>
              <w:ind w:left="0" w:firstLine="743"/>
              <w:contextualSpacing/>
              <w:rPr>
                <w:rFonts w:eastAsia="Times New Roman"/>
                <w:sz w:val="22"/>
                <w:szCs w:val="28"/>
                <w:lang w:eastAsia="ru-RU"/>
              </w:rPr>
            </w:pPr>
            <w:r>
              <w:rPr>
                <w:rFonts w:eastAsia="Times New Roman"/>
                <w:sz w:val="22"/>
                <w:szCs w:val="28"/>
                <w:lang w:eastAsia="ru-RU"/>
              </w:rPr>
              <w:t xml:space="preserve">В 2020 году по машиностроительным видам деятельности отгружено товаров собственного производства на сумму 56 835,9 млн рублей или </w:t>
              <w:br/>
              <w:t>97,1 % к уровню 2019 года.</w:t>
            </w:r>
          </w:p>
          <w:p>
            <w:pPr>
              <w:pStyle w:val="ListParagraph"/>
              <w:shd w:val="clear" w:color="auto" w:fill="FFFFFF"/>
              <w:spacing w:lineRule="auto" w:line="240" w:before="0" w:after="0"/>
              <w:ind w:left="0" w:firstLine="743"/>
              <w:contextualSpacing/>
              <w:rPr>
                <w:rFonts w:eastAsia="Times New Roman"/>
                <w:sz w:val="22"/>
                <w:szCs w:val="28"/>
                <w:lang w:eastAsia="ru-RU"/>
              </w:rPr>
            </w:pPr>
            <w:r>
              <w:rPr>
                <w:rFonts w:eastAsia="Times New Roman"/>
                <w:sz w:val="22"/>
                <w:szCs w:val="28"/>
                <w:lang w:eastAsia="ru-RU"/>
              </w:rPr>
              <w:t xml:space="preserve">На снижение показателей в целом в отрасли машиностроения оказало влияние введение ограничительных мероприятий, связанных с профилактикой распространения новой коронавирусной инфекции (COVID-19). </w:t>
            </w:r>
          </w:p>
          <w:p>
            <w:pPr>
              <w:pStyle w:val="ListParagraph"/>
              <w:shd w:val="clear" w:color="auto" w:fill="FFFFFF"/>
              <w:spacing w:lineRule="auto" w:line="240" w:before="0" w:after="0"/>
              <w:ind w:left="0" w:firstLine="743"/>
              <w:contextualSpacing/>
              <w:rPr>
                <w:rFonts w:eastAsia="Times New Roman"/>
                <w:sz w:val="22"/>
                <w:szCs w:val="28"/>
                <w:lang w:eastAsia="ru-RU"/>
              </w:rPr>
            </w:pPr>
            <w:r>
              <w:rPr>
                <w:rFonts w:eastAsia="Times New Roman"/>
                <w:sz w:val="22"/>
                <w:szCs w:val="28"/>
                <w:lang w:eastAsia="ru-RU"/>
              </w:rPr>
              <w:t xml:space="preserve">В первую очередь ограничения повлияли на предприятия, ориентированные на крупные компании нефтегазовой и транспортной сферы, предприятия, использующие в производстве комплектующие изделия, и осуществляющие ремонт и монтаж машин и оборудования, в которой до половины объёмов обеспечивают предприятия малого и среднего предпринимательства. </w:t>
            </w:r>
          </w:p>
          <w:p>
            <w:pPr>
              <w:pStyle w:val="ListParagraph"/>
              <w:shd w:val="clear" w:color="auto" w:fill="FFFFFF"/>
              <w:spacing w:lineRule="auto" w:line="240" w:before="0" w:after="0"/>
              <w:ind w:left="0" w:firstLine="743"/>
              <w:contextualSpacing/>
              <w:rPr>
                <w:rFonts w:eastAsia="Times New Roman"/>
                <w:sz w:val="22"/>
                <w:szCs w:val="28"/>
                <w:lang w:eastAsia="ru-RU"/>
              </w:rPr>
            </w:pPr>
            <w:r>
              <w:rPr>
                <w:rFonts w:eastAsia="Times New Roman"/>
                <w:sz w:val="22"/>
                <w:szCs w:val="28"/>
                <w:lang w:eastAsia="ru-RU"/>
              </w:rPr>
              <w:t>Однако в самой крупной отрасли машиностроения «Производство машин и оборудования, не включенных в другие группировки» по итогам 2020 года отмечен рост показателей: индекс промышленного составил 105,6 %, объём отгруженной продукции – 27 332,3 млн рублей или 119,6 % к 2019 году.</w:t>
            </w:r>
          </w:p>
          <w:p>
            <w:pPr>
              <w:pStyle w:val="ListParagraph"/>
              <w:shd w:val="clear" w:color="auto" w:fill="FFFFFF"/>
              <w:spacing w:lineRule="auto" w:line="240" w:before="0" w:after="0"/>
              <w:ind w:left="0" w:firstLine="743"/>
              <w:contextualSpacing/>
              <w:rPr>
                <w:rFonts w:eastAsia="Times New Roman"/>
                <w:sz w:val="22"/>
                <w:szCs w:val="28"/>
                <w:lang w:eastAsia="ru-RU"/>
              </w:rPr>
            </w:pPr>
            <w:r>
              <w:rPr>
                <w:rFonts w:eastAsia="Times New Roman"/>
                <w:sz w:val="22"/>
                <w:szCs w:val="28"/>
                <w:lang w:eastAsia="ru-RU"/>
              </w:rPr>
              <w:t xml:space="preserve">В 2020 г. в рамках ГП КК «Развитие промышленности Краснодарского края и повышение её конкурентоспособности» в пилотном режиме успешно реализована программа предоставления субсидии на возмещение недополученных доходов (компенсация 10 % скидки) при предоставлении покупателям скидки на приобретаемую машиностроительную продукцию собственного производства (далее – программа). В программе приняли участие 13 организаций, общая сумма предоставленных субсидий составила 60 616,6 тыс. рублей. </w:t>
            </w:r>
          </w:p>
          <w:p>
            <w:pPr>
              <w:pStyle w:val="ListParagraph"/>
              <w:shd w:val="clear" w:color="auto" w:fill="FFFFFF"/>
              <w:spacing w:lineRule="auto" w:line="240" w:before="0" w:after="0"/>
              <w:ind w:left="0" w:firstLine="743"/>
              <w:contextualSpacing/>
              <w:rPr>
                <w:rFonts w:eastAsia="Times New Roman"/>
                <w:sz w:val="22"/>
                <w:szCs w:val="28"/>
                <w:lang w:eastAsia="ru-RU"/>
              </w:rPr>
            </w:pPr>
            <w:r>
              <w:rPr>
                <w:rFonts w:eastAsia="Times New Roman"/>
                <w:sz w:val="22"/>
                <w:szCs w:val="28"/>
                <w:lang w:eastAsia="ru-RU"/>
              </w:rPr>
              <w:t xml:space="preserve">Реализация программы дала эффект сразу в трех направлениях: наращивание объемов производства, выход на рынок новых видов продукции (2 модели тракторов «Беларус», 3 модификации пассажирских лифтов, 6 моделей опрыскивателей для садов и виноградников, сменный резино-гусеничный ход для зерноуборочных комбайнов, новые виды пищевого оборудования), а также обновление парка техники и оборудования в агропромышленном комплексе и потребительской сфере. Кроме этого реализация программы позволила привлечь более 45 млн рублей инвестиций в отрасли машиностроения края. </w:t>
            </w:r>
          </w:p>
          <w:p>
            <w:pPr>
              <w:pStyle w:val="ListParagraph"/>
              <w:shd w:val="clear" w:color="auto" w:fill="FFFFFF"/>
              <w:spacing w:lineRule="auto" w:line="240" w:before="0" w:after="0"/>
              <w:ind w:left="0" w:firstLine="743"/>
              <w:contextualSpacing/>
              <w:rPr>
                <w:rFonts w:eastAsia="Times New Roman" w:cs="Times New Roman"/>
                <w:sz w:val="22"/>
                <w:lang w:eastAsia="ru-RU"/>
              </w:rPr>
            </w:pPr>
            <w:r>
              <w:rPr>
                <w:rFonts w:eastAsia="Times New Roman"/>
                <w:sz w:val="22"/>
                <w:szCs w:val="28"/>
                <w:lang w:eastAsia="ru-RU"/>
              </w:rPr>
              <w:t>Административных барьеров для входа на рынок частного бизнеса нет. В то же время на товарном рынке существуют проблемные вопросы: отсутствие сырьевой базы, высокая насыщенность российского рынка дешевыми товарами импорта, отсутствие у промышленных предприятий собственных оборотных средств на модернизацию и обновление оборудования.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38.1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Сбор и анализ актуальной информации о состоянии конкурентной среды на рынке машиностроения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отчет в уполномоченный орган</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на рынке продукции машиностроения,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38.2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машиностроения</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Arial" w:hAnsi="Arial" w:eastAsia="Times New Roman" w:cs="Arial"/>
                <w:sz w:val="22"/>
                <w:lang w:eastAsia="ru-RU"/>
              </w:rPr>
            </w:pPr>
            <w:r>
              <w:rPr>
                <w:rFonts w:eastAsia="Times New Roman" w:cs="Times New Roman"/>
                <w:color w:val="000000"/>
                <w:sz w:val="22"/>
                <w:lang w:eastAsia="ru-RU"/>
              </w:rPr>
              <w:t xml:space="preserve">оказание мер государственной поддержки предприятиям </w:t>
            </w:r>
            <w:r>
              <w:rPr>
                <w:rFonts w:eastAsia="Times New Roman" w:cs="Times New Roman"/>
                <w:sz w:val="22"/>
                <w:lang w:eastAsia="ru-RU"/>
              </w:rPr>
              <w:t>машиностроения</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информационный ресурс в сети «Интернет» по организационно-методической поддержке предпринимателей, наличие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rHeight w:val="1985"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38.3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pacing w:val="-2"/>
                <w:sz w:val="22"/>
                <w:lang w:eastAsia="ru-RU"/>
              </w:rPr>
            </w:pPr>
            <w:r>
              <w:rPr>
                <w:rFonts w:eastAsia="Times New Roman" w:cs="Times New Roman"/>
                <w:spacing w:val="-2"/>
                <w:sz w:val="22"/>
                <w:lang w:eastAsia="ru-RU"/>
              </w:rPr>
              <w:t xml:space="preserve">Повышение эффективности производства через внедрение процессов бережливого производства </w:t>
            </w:r>
          </w:p>
          <w:p>
            <w:pPr>
              <w:pStyle w:val="Normal"/>
              <w:spacing w:lineRule="auto" w:line="240" w:before="0" w:after="0"/>
              <w:rPr>
                <w:rFonts w:eastAsia="Times New Roman" w:cs="Times New Roman"/>
                <w:spacing w:val="-2"/>
                <w:sz w:val="22"/>
                <w:lang w:eastAsia="ru-RU"/>
              </w:rPr>
            </w:pPr>
            <w:r>
              <w:rPr>
                <w:rFonts w:eastAsia="Times New Roman" w:cs="Times New Roman"/>
                <w:spacing w:val="-2"/>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повышение показателей производительности труда на промышленных предприятиях </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pacing w:val="-2"/>
                <w:sz w:val="22"/>
                <w:lang w:eastAsia="ru-RU"/>
              </w:rPr>
            </w:pPr>
            <w:r>
              <w:rPr>
                <w:rFonts w:eastAsia="Times New Roman" w:cs="Times New Roman"/>
                <w:spacing w:val="-2"/>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количество предприятий-участников </w:t>
            </w:r>
            <w:r>
              <w:rPr>
                <w:rFonts w:eastAsia="Times New Roman" w:cs="Times New Roman"/>
                <w:spacing w:val="-2"/>
                <w:sz w:val="22"/>
                <w:lang w:eastAsia="ru-RU"/>
              </w:rPr>
              <w:t>национального проекта «Производительность труда», единиц</w:t>
            </w:r>
            <w:r>
              <w:rPr>
                <w:rFonts w:eastAsia="Times New Roman" w:cs="Times New Roman"/>
                <w:sz w:val="22"/>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35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40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45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50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val="en-US" w:eastAsia="ru-RU"/>
              </w:rPr>
            </w:pPr>
            <w:r>
              <w:rPr>
                <w:rFonts w:eastAsia="Times New Roman" w:cs="Times New Roman"/>
                <w:sz w:val="22"/>
                <w:lang w:val="en-US" w:eastAsia="ru-RU"/>
              </w:rPr>
              <w:t>52</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 xml:space="preserve">департамент промышленной политики Краснодарского края, министерство экономики Краснодарского края </w:t>
            </w:r>
          </w:p>
        </w:tc>
      </w:tr>
      <w:tr>
        <w:trPr/>
        <w:tc>
          <w:tcPr>
            <w:tcW w:w="14594" w:type="dxa"/>
            <w:gridSpan w:val="11"/>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numPr>
                <w:ilvl w:val="0"/>
                <w:numId w:val="1"/>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color w:val="000000"/>
                <w:sz w:val="22"/>
                <w:lang w:eastAsia="ru-RU"/>
              </w:rPr>
              <w:t>Рынок водоснабжения и водоотведения</w:t>
            </w:r>
          </w:p>
        </w:tc>
      </w:tr>
      <w:tr>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5746" w:leader="none"/>
              </w:tabs>
              <w:spacing w:lineRule="auto" w:line="240" w:before="0" w:after="0"/>
              <w:ind w:firstLine="709"/>
              <w:rPr>
                <w:rFonts w:cs="Times New Roman"/>
                <w:sz w:val="22"/>
                <w:szCs w:val="28"/>
                <w:lang w:eastAsia="ru-RU" w:bidi="ru-RU"/>
              </w:rPr>
            </w:pPr>
            <w:r>
              <w:rPr>
                <w:rFonts w:cs="Times New Roman"/>
                <w:sz w:val="22"/>
                <w:szCs w:val="28"/>
                <w:lang w:eastAsia="ru-RU" w:bidi="ru-RU"/>
              </w:rPr>
              <w:t>Услугами централизованного хозяйственно-питьевого водоснабжения в Краснодарском крае пользуются более 4,5 млн человек, а в летний период эта цифра превышает 6 млн человек (с учетом курортного сезона).</w:t>
            </w:r>
          </w:p>
          <w:p>
            <w:pPr>
              <w:pStyle w:val="Normal"/>
              <w:tabs>
                <w:tab w:val="clear" w:pos="708"/>
                <w:tab w:val="left" w:pos="5746" w:leader="none"/>
              </w:tabs>
              <w:spacing w:lineRule="auto" w:line="240" w:before="0" w:after="0"/>
              <w:ind w:firstLine="709"/>
              <w:rPr>
                <w:rFonts w:cs="Times New Roman"/>
                <w:sz w:val="22"/>
                <w:szCs w:val="28"/>
                <w:lang w:eastAsia="ru-RU" w:bidi="ru-RU"/>
              </w:rPr>
            </w:pPr>
            <w:r>
              <w:rPr>
                <w:rFonts w:cs="Times New Roman"/>
                <w:sz w:val="22"/>
                <w:szCs w:val="28"/>
                <w:lang w:eastAsia="ru-RU" w:bidi="ru-RU"/>
              </w:rPr>
              <w:t xml:space="preserve">За последние 5 лет протяженность водопроводных сетей в крае увеличилась более чем на 2 тыс. км. Отремонтировано около 4-х тысяч км водопроводных сетей и 500 километров сетей канализации. Мощность коммунальных водопроводов увеличилась на 10 %. </w:t>
            </w:r>
          </w:p>
          <w:p>
            <w:pPr>
              <w:pStyle w:val="Normal"/>
              <w:tabs>
                <w:tab w:val="clear" w:pos="708"/>
                <w:tab w:val="left" w:pos="5746" w:leader="none"/>
              </w:tabs>
              <w:spacing w:lineRule="auto" w:line="240" w:before="0" w:after="0"/>
              <w:ind w:firstLine="709"/>
              <w:rPr>
                <w:rFonts w:eastAsia="Times New Roman" w:cs="Times New Roman"/>
                <w:sz w:val="22"/>
                <w:szCs w:val="20"/>
                <w:lang w:eastAsia="ru-RU"/>
              </w:rPr>
            </w:pPr>
            <w:r>
              <w:rPr>
                <w:rFonts w:cs="Times New Roman"/>
                <w:sz w:val="22"/>
                <w:szCs w:val="28"/>
                <w:lang w:eastAsia="ru-RU" w:bidi="ru-RU"/>
              </w:rPr>
              <w:t xml:space="preserve">В сферах водоснабжения и водоотведения в настоящее время осуществляют деятельность 165 специализированных государственных </w:t>
              <w:br/>
            </w:r>
            <w:r>
              <w:rPr>
                <w:rFonts w:eastAsia="Times New Roman" w:cs="Times New Roman"/>
                <w:sz w:val="22"/>
                <w:szCs w:val="20"/>
                <w:lang w:eastAsia="ru-RU"/>
              </w:rPr>
              <w:t xml:space="preserve">и муниципальных унитарных предприятий. </w:t>
            </w:r>
          </w:p>
          <w:p>
            <w:pPr>
              <w:pStyle w:val="Normal"/>
              <w:tabs>
                <w:tab w:val="clear" w:pos="708"/>
                <w:tab w:val="left" w:pos="5746" w:leader="none"/>
              </w:tabs>
              <w:spacing w:lineRule="auto" w:line="240" w:before="0" w:after="0"/>
              <w:ind w:firstLine="709"/>
              <w:rPr>
                <w:rFonts w:cs="Times New Roman"/>
                <w:sz w:val="22"/>
                <w:szCs w:val="28"/>
                <w:lang w:eastAsia="ru-RU" w:bidi="ru-RU"/>
              </w:rPr>
            </w:pPr>
            <w:r>
              <w:rPr>
                <w:rFonts w:cs="Times New Roman"/>
                <w:sz w:val="22"/>
                <w:szCs w:val="28"/>
                <w:lang w:eastAsia="ru-RU" w:bidi="ru-RU"/>
              </w:rPr>
              <w:t xml:space="preserve">Основная масса объектов водоснабжения имеет высокую степень износа. Среднекраевой показатель физического износа сетей водоснабжения </w:t>
              <w:br/>
              <w:t xml:space="preserve">и водоотведения составляет 69 %, уровень потерь воды в водопроводных сетях составляют в среднем 36,8 %. </w:t>
            </w:r>
          </w:p>
          <w:p>
            <w:pPr>
              <w:pStyle w:val="Normal"/>
              <w:spacing w:lineRule="auto" w:line="240" w:before="0" w:after="0"/>
              <w:ind w:firstLine="589"/>
              <w:rPr>
                <w:rFonts w:cs="Times New Roman"/>
                <w:sz w:val="22"/>
                <w:szCs w:val="28"/>
                <w:lang w:eastAsia="ru-RU" w:bidi="ru-RU"/>
              </w:rPr>
            </w:pPr>
            <w:r>
              <w:rPr>
                <w:rFonts w:cs="Times New Roman"/>
                <w:sz w:val="22"/>
                <w:szCs w:val="28"/>
                <w:lang w:eastAsia="ru-RU" w:bidi="ru-RU"/>
              </w:rPr>
              <w:t xml:space="preserve">В настоящее время в крае стоит задача модернизации объектов водоснабжения и эффективного управления их развитием за счет привлечения инвестиций. Мероприятия планируются в рамках </w:t>
            </w:r>
            <w:r>
              <w:rPr>
                <w:rFonts w:eastAsia="Times New Roman" w:cs="Times New Roman"/>
                <w:sz w:val="22"/>
                <w:lang w:eastAsia="ru-RU"/>
              </w:rPr>
              <w:t xml:space="preserve">государственной программы Краснодарского края «Развитие жилищно-коммунального хозяйства» и регионального проекта «Качество питьевой воды».  </w:t>
            </w:r>
            <w:r>
              <w:rPr>
                <w:rFonts w:cs="Times New Roman"/>
                <w:sz w:val="22"/>
                <w:szCs w:val="28"/>
                <w:lang w:eastAsia="ru-RU" w:bidi="ru-RU"/>
              </w:rPr>
              <w:t xml:space="preserve"> </w:t>
            </w:r>
          </w:p>
          <w:p>
            <w:pPr>
              <w:pStyle w:val="Normal"/>
              <w:tabs>
                <w:tab w:val="clear" w:pos="708"/>
                <w:tab w:val="left" w:pos="5746" w:leader="none"/>
              </w:tabs>
              <w:spacing w:lineRule="auto" w:line="240" w:before="0" w:after="0"/>
              <w:ind w:firstLine="709"/>
              <w:rPr>
                <w:rFonts w:eastAsia="Times New Roman" w:cs="Times New Roman"/>
                <w:sz w:val="22"/>
                <w:lang w:eastAsia="ru-RU"/>
              </w:rPr>
            </w:pPr>
            <w:r>
              <w:rPr>
                <w:rFonts w:cs="Times New Roman"/>
                <w:sz w:val="22"/>
                <w:szCs w:val="28"/>
                <w:lang w:eastAsia="ru-RU" w:bidi="ru-RU"/>
              </w:rPr>
              <w:t xml:space="preserve"> </w:t>
            </w:r>
            <w:r>
              <w:rPr>
                <w:rFonts w:eastAsia="Times New Roman" w:cs="Times New Roman"/>
                <w:sz w:val="22"/>
                <w:lang w:eastAsia="ru-RU"/>
              </w:rPr>
              <w:t xml:space="preserve">В муниципальных образованиях Краснодарского края во исполнение поручения Президента Российской Федерации от 2 сентября 2018 г. </w:t>
              <w:br/>
              <w:t xml:space="preserve">№ Пр-1623 «Об установлении законодательного запрета деятельности государственных и муниципальных унитарных предприятий на конкурентных рынках» рассматриваются вопросы реорганизации действующих МУП, оказывающих услуги водоснабжения и водоотведения населению. </w:t>
            </w:r>
            <w:r>
              <w:rPr>
                <w:rFonts w:cs="Times New Roman"/>
                <w:sz w:val="22"/>
                <w:szCs w:val="28"/>
                <w:lang w:eastAsia="ru-RU" w:bidi="ru-RU"/>
              </w:rPr>
              <w:t>До 2022 г. планируется заключить концессионные соглашения по модернизации систем холодного водоснабжения в 7 муниципальных образованиях Краснодарского края.</w:t>
            </w:r>
          </w:p>
        </w:tc>
      </w:tr>
      <w:tr>
        <w:trPr>
          <w:trHeight w:val="5264" w:hRule="atLeast"/>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39.1</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Заключение концессионных соглашений, предусматривающих передачу муниципального имущества муниципальных предприятий концессионерам в целях его модернизации, улучшения характеристик и эксплуатационных свойств систем водоснабжения и водоотведения</w:t>
            </w:r>
          </w:p>
        </w:tc>
        <w:tc>
          <w:tcPr>
            <w:tcW w:w="17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 </w:t>
            </w:r>
            <w:r>
              <w:rPr>
                <w:rFonts w:eastAsia="TimesNewRomanPSMT" w:cs="Times New Roman"/>
                <w:sz w:val="22"/>
                <w:lang w:eastAsia="ru-RU"/>
              </w:rPr>
              <w:t xml:space="preserve">заключение </w:t>
              <w:br/>
              <w:t xml:space="preserve">концессионных соглашений по модернизации систем </w:t>
            </w:r>
            <w:r>
              <w:rPr>
                <w:rFonts w:eastAsia="Times New Roman" w:cs="Times New Roman"/>
                <w:sz w:val="22"/>
                <w:lang w:eastAsia="ru-RU"/>
              </w:rPr>
              <w:t>водоснабжения и водоотведения</w:t>
            </w:r>
          </w:p>
        </w:tc>
        <w:tc>
          <w:tcPr>
            <w:tcW w:w="127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2022-2025</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доля полезного отпуска ресурсов, реализуемых государственными и муниципальными унитарными предприятиями, в общем объеме таких ресурсов, реализуемых в регионе (водоснабжение /водоотведение), процентов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водоснабжение</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водоотведение</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58,3</w:t>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39</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45</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40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30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30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w:t>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eastAsia="ru-RU"/>
              </w:rPr>
              <w:t>2</w:t>
            </w:r>
            <w:r>
              <w:rPr>
                <w:rFonts w:eastAsia="Times New Roman" w:cs="Times New Roman"/>
                <w:sz w:val="22"/>
                <w:lang w:val="en-US" w:eastAsia="ru-RU"/>
              </w:rPr>
              <w:t>0</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eastAsia="ru-RU"/>
              </w:rPr>
              <w:t>10</w:t>
            </w:r>
          </w:p>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r>
          </w:p>
          <w:p>
            <w:pPr>
              <w:pStyle w:val="Normal"/>
              <w:spacing w:lineRule="auto" w:line="240" w:before="0" w:after="0"/>
              <w:jc w:val="center"/>
              <w:rPr>
                <w:rFonts w:eastAsia="Times New Roman" w:cs="Times New Roman"/>
                <w:sz w:val="22"/>
                <w:lang w:eastAsia="ru-RU"/>
              </w:rPr>
            </w:pPr>
            <w:r>
              <w:rPr>
                <w:rFonts w:eastAsia="Times New Roman" w:cs="Times New Roman"/>
                <w:sz w:val="22"/>
                <w:lang w:val="en-US" w:eastAsia="ru-RU"/>
              </w:rPr>
              <w:t>10</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топливно-энергетического комплекса и жилищно-коммунального хозяйства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438" w:hRule="atLeast"/>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sz w:val="22"/>
              </w:rPr>
            </w:pPr>
            <w:r>
              <w:rPr>
                <w:sz w:val="22"/>
              </w:rPr>
              <w:t xml:space="preserve">количество заключенных концессионных соглашений, </w:t>
            </w:r>
          </w:p>
          <w:p>
            <w:pPr>
              <w:pStyle w:val="Normal"/>
              <w:spacing w:lineRule="auto" w:line="240" w:before="0" w:after="0"/>
              <w:contextualSpacing/>
              <w:rPr>
                <w:sz w:val="22"/>
              </w:rPr>
            </w:pPr>
            <w:r>
              <w:rPr>
                <w:sz w:val="22"/>
              </w:rPr>
              <w:t>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sz w:val="22"/>
              </w:rPr>
            </w:pPr>
            <w:r>
              <w:rPr>
                <w:sz w:val="22"/>
              </w:rPr>
              <w:t>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sz w:val="22"/>
              </w:rPr>
            </w:pPr>
            <w:r>
              <w:rPr>
                <w:sz w:val="22"/>
              </w:rPr>
              <w:t>8</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sz w:val="22"/>
              </w:rPr>
            </w:pPr>
            <w:r>
              <w:rPr>
                <w:sz w:val="22"/>
              </w:rPr>
              <w:t>11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sz w:val="22"/>
              </w:rPr>
            </w:pPr>
            <w:r>
              <w:rPr>
                <w:sz w:val="22"/>
              </w:rPr>
              <w:t>13</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sz w:val="22"/>
              </w:rPr>
            </w:pPr>
            <w:r>
              <w:rPr>
                <w:sz w:val="22"/>
              </w:rPr>
              <w:t>15</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rHeight w:val="438" w:hRule="atLeast"/>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rPr>
                <w:rFonts w:eastAsia="Times New Roman" w:cs="Times New Roman"/>
                <w:sz w:val="22"/>
                <w:lang w:eastAsia="ru-RU"/>
              </w:rPr>
            </w:pPr>
            <w:r>
              <w:rPr>
                <w:rFonts w:eastAsia="Times New Roman" w:cs="Times New Roman"/>
                <w:sz w:val="22"/>
                <w:lang w:eastAsia="ru-RU"/>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7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cs="Times New Roman"/>
                <w:sz w:val="22"/>
                <w:szCs w:val="28"/>
                <w:lang w:eastAsia="ru-RU" w:bidi="ru-RU"/>
              </w:rPr>
              <w:t>уровень</w:t>
            </w:r>
            <w:r>
              <w:rPr>
                <w:sz w:val="22"/>
                <w:szCs w:val="28"/>
                <w:lang w:bidi="ru-RU"/>
              </w:rPr>
              <w:t xml:space="preserve"> </w:t>
            </w:r>
            <w:r>
              <w:rPr>
                <w:rFonts w:cs="Times New Roman"/>
                <w:sz w:val="22"/>
                <w:szCs w:val="28"/>
                <w:lang w:eastAsia="ru-RU" w:bidi="ru-RU"/>
              </w:rPr>
              <w:t>потерь воды в водопроводных сетях,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jc w:val="center"/>
              <w:rPr>
                <w:sz w:val="22"/>
              </w:rPr>
            </w:pPr>
            <w:r>
              <w:rPr>
                <w:sz w:val="22"/>
              </w:rPr>
              <w:t>36,6</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jc w:val="center"/>
              <w:rPr>
                <w:sz w:val="22"/>
              </w:rPr>
            </w:pPr>
            <w:r>
              <w:rPr>
                <w:sz w:val="22"/>
              </w:rPr>
              <w:t>36,4</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jc w:val="center"/>
              <w:rPr>
                <w:sz w:val="22"/>
              </w:rPr>
            </w:pPr>
            <w:r>
              <w:rPr>
                <w:sz w:val="22"/>
              </w:rPr>
              <w:t>36,1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jc w:val="center"/>
              <w:rPr>
                <w:sz w:val="22"/>
              </w:rPr>
            </w:pPr>
            <w:r>
              <w:rPr>
                <w:sz w:val="22"/>
              </w:rPr>
              <w:t>35,8</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jc w:val="center"/>
              <w:rPr>
                <w:sz w:val="22"/>
              </w:rPr>
            </w:pPr>
            <w:r>
              <w:rPr>
                <w:sz w:val="22"/>
              </w:rPr>
              <w:t>35,1</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rHeight w:val="438" w:hRule="atLeast"/>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ListParagraph"/>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Электроэнергетика</w:t>
            </w:r>
          </w:p>
        </w:tc>
      </w:tr>
      <w:tr>
        <w:trPr>
          <w:trHeight w:val="438"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В Краснодарском крае функционируют 54 сетевых организаций, оказывающих услуги по передачи электрической энергии. Крупнейшими из них, объем передачи электрической энергии которых превышает 98 % общего потребления Краснодарского края, являются:</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ПАО «ФСК ЕЭС», в том числе:</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Филиал ПАО «ФСК ЕЭС» МЭС Юга Кубанское предприятие магистральных электрических сетей;</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Филиал ПАО «ФСК ЕЭС» МЭС Юга Сочинское предприятие магистральных электрических сетей;</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ПАО «Кубаньэнерго», в том числе 11 филиалов на территории Краснодарского края и Республике;</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 xml:space="preserve">АО «НЭСК-электросети» – зона ответственности 25 (филиалов) городских поселений Краснодарского края. </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Установленная мощность питающих центров региона всего составляет более 27827 МВ*А. Уровень износа основных фондов в электрических сетях ~ 68%.</w:t>
            </w:r>
          </w:p>
          <w:p>
            <w:pPr>
              <w:pStyle w:val="Normal"/>
              <w:spacing w:lineRule="auto" w:line="240" w:before="0" w:after="0"/>
              <w:ind w:firstLine="709"/>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осуществляющих деятельность по производству электроэнергии на розничном рынке и осуществляющих деятельность по купле-продаже электроэнергии (энергосбытовую деятельность) на розничном рынке, составляет 100 %.</w:t>
            </w:r>
          </w:p>
        </w:tc>
      </w:tr>
      <w:tr>
        <w:trPr>
          <w:trHeight w:val="438"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40.1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Поддержка инвестиционных проектов, направленных на внедрение новых современных технологий, в том числе, энергосберегающих</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развитие добросовестной конкуренции на товарном рынке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31 декабря 2025 г.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осуществляющих деятельность по производству электроэнергии на розничном рынке и осуществляющих деятельность по купле-продаже электроэнергии (энергосбытовую деятельность) на розничном рынке, составляет 100 процентов</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jc w:val="center"/>
              <w:rPr>
                <w:sz w:val="22"/>
              </w:rPr>
            </w:pPr>
            <w:r>
              <w:rPr>
                <w:sz w:val="22"/>
              </w:rPr>
              <w:t>100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jc w:val="center"/>
              <w:rPr>
                <w:sz w:val="22"/>
              </w:rPr>
            </w:pPr>
            <w:r>
              <w:rPr>
                <w:sz w:val="22"/>
              </w:rPr>
              <w:t>100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jc w:val="center"/>
              <w:rPr>
                <w:sz w:val="22"/>
              </w:rPr>
            </w:pPr>
            <w:r>
              <w:rPr>
                <w:sz w:val="22"/>
              </w:rPr>
              <w:t>100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sz w:val="22"/>
              </w:rPr>
              <w:t>министерство топливно-энергетического комплекса и жилищно-коммунального хозяйства Краснодарского края</w:t>
            </w:r>
          </w:p>
        </w:tc>
      </w:tr>
      <w:tr>
        <w:trPr>
          <w:trHeight w:val="438" w:hRule="atLeast"/>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ListParagraph"/>
              <w:numPr>
                <w:ilvl w:val="0"/>
                <w:numId w:val="1"/>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Рынок виноградарства и виноделия</w:t>
            </w:r>
          </w:p>
        </w:tc>
      </w:tr>
      <w:tr>
        <w:trPr>
          <w:trHeight w:val="438"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firstLine="731"/>
              <w:rPr>
                <w:rFonts w:eastAsia="Times New Roman" w:cs="Times New Roman"/>
                <w:sz w:val="22"/>
                <w:lang w:eastAsia="ru-RU"/>
              </w:rPr>
            </w:pPr>
            <w:r>
              <w:rPr>
                <w:rFonts w:eastAsia="Times New Roman" w:cs="Times New Roman"/>
                <w:sz w:val="22"/>
                <w:lang w:eastAsia="ru-RU"/>
              </w:rPr>
              <w:t xml:space="preserve">Благодаря природно-климатическим условиям Краснодарский край занимает лидирующие позиции в виноградарстве и виноделии Российской Федерации. Это позволило Краснодарскому краю выйти на лидирующие позиции по производству винограда в России и прочно удерживаться на них уже много лет. Общая площадь виноградников в Краснодарском крае составляет 28,3 тыс. га (32,0 % от всех площадей виноградников в России), из них в плодоносящем возрасте 20,3 тыс. га. Основные товарные виноградники расположены в муниципальных образованиях Темрюкский район – 19,0 тыс. га, город-курорт Анапа – 4,0 тыс. га, город Новороссийск – 1,7 тыс. га, Крымский район – 1,3 тыс. га, город-курорт Геленджик – 0,3 тыс. га. </w:t>
            </w:r>
          </w:p>
          <w:p>
            <w:pPr>
              <w:pStyle w:val="Normal"/>
              <w:spacing w:lineRule="auto" w:line="240" w:before="0" w:after="0"/>
              <w:ind w:right="-31" w:firstLine="731"/>
              <w:rPr>
                <w:rFonts w:eastAsia="Times New Roman" w:cs="Times New Roman"/>
                <w:sz w:val="22"/>
                <w:lang w:eastAsia="ru-RU"/>
              </w:rPr>
            </w:pPr>
            <w:r>
              <w:rPr>
                <w:rFonts w:eastAsia="Times New Roman" w:cs="Times New Roman"/>
                <w:sz w:val="22"/>
                <w:lang w:eastAsia="ru-RU"/>
              </w:rPr>
              <w:t>В Краснодарском крае работает 86 виноградарских предприятий и 147 крестьянских (фермерских) хозяйств.</w:t>
            </w:r>
          </w:p>
          <w:p>
            <w:pPr>
              <w:pStyle w:val="Normal"/>
              <w:spacing w:lineRule="auto" w:line="240" w:before="0" w:after="0"/>
              <w:ind w:right="-31" w:firstLine="731"/>
              <w:rPr>
                <w:rFonts w:eastAsia="Times New Roman" w:cs="Times New Roman"/>
                <w:sz w:val="22"/>
                <w:lang w:eastAsia="ru-RU"/>
              </w:rPr>
            </w:pPr>
            <w:r>
              <w:rPr>
                <w:bCs/>
                <w:sz w:val="22"/>
                <w:szCs w:val="28"/>
              </w:rPr>
              <w:t>Краснодарский край занимает первое место в России по объёмам производства вина и шампанского. Удельный вес Краснодарского края в общероссийском производстве вина составляет по итогам 2020 года 45 %, шампанского – 37 %.</w:t>
            </w:r>
            <w:r>
              <w:rPr>
                <w:sz w:val="22"/>
              </w:rPr>
              <w:t xml:space="preserve"> </w:t>
            </w:r>
            <w:r>
              <w:rPr>
                <w:bCs/>
                <w:sz w:val="22"/>
                <w:szCs w:val="28"/>
              </w:rPr>
              <w:t>Производством винодельческой продукции занимаются 53 организации и 31 КФХ, получивших лицензию в течение последних 5 лет.</w:t>
            </w:r>
          </w:p>
        </w:tc>
      </w:tr>
      <w:tr>
        <w:trPr>
          <w:trHeight w:val="438"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41.1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Предоставление мер государственной поддержки на закладку и уход за виноградниками, на возмещение части затрат, связанных с развитием питомниководческой базы, проведением селекционных мероприятий и переходом на интенсивную систему возделывания виноградников</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мероприятий по закладке виноградников в сельскохозяйственных организациях, крестьянских (фермерских) хозяйствах, включая индивидуальных предпринимателей</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sz w:val="22"/>
                <w:lang w:eastAsia="ru-RU"/>
              </w:rPr>
              <w:t>площадь закладки виноградников в сельскохозяйственных организациях, крестьянских (фермерских) хозяйствах, включая индивидуальных предпринимателей, тыс. га ежегодно</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sz w:val="22"/>
              </w:rPr>
            </w:pPr>
            <w:r>
              <w:rPr>
                <w:sz w:val="22"/>
              </w:rPr>
              <w:t>0,4</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eastAsia="Times New Roman" w:cs="Times New Roman"/>
                <w:sz w:val="22"/>
                <w:lang w:eastAsia="ru-RU"/>
              </w:rPr>
            </w:pPr>
            <w:r>
              <w:rPr>
                <w:rFonts w:eastAsia="Times New Roman" w:cs="Times New Roman"/>
                <w:sz w:val="22"/>
                <w:lang w:eastAsia="ru-RU"/>
              </w:rPr>
              <w:t>0,4</w:t>
            </w:r>
          </w:p>
          <w:p>
            <w:pPr>
              <w:pStyle w:val="Normal"/>
              <w:spacing w:before="0" w:after="200"/>
              <w:jc w:val="center"/>
              <w:rPr>
                <w:sz w:val="22"/>
              </w:rPr>
            </w:pPr>
            <w:r>
              <w:rPr>
                <w:sz w:val="22"/>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eastAsia="Times New Roman" w:cs="Times New Roman"/>
                <w:sz w:val="22"/>
                <w:lang w:eastAsia="ru-RU"/>
              </w:rPr>
            </w:pPr>
            <w:r>
              <w:rPr>
                <w:rFonts w:eastAsia="Times New Roman" w:cs="Times New Roman"/>
                <w:sz w:val="22"/>
                <w:lang w:eastAsia="ru-RU"/>
              </w:rPr>
              <w:t>0,4</w:t>
            </w:r>
          </w:p>
          <w:p>
            <w:pPr>
              <w:pStyle w:val="Normal"/>
              <w:spacing w:before="0" w:after="200"/>
              <w:rPr>
                <w:sz w:val="22"/>
              </w:rPr>
            </w:pPr>
            <w:r>
              <w:rPr>
                <w:sz w:val="22"/>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eastAsia="Times New Roman" w:cs="Times New Roman"/>
                <w:sz w:val="22"/>
                <w:lang w:eastAsia="ru-RU"/>
              </w:rPr>
            </w:pPr>
            <w:r>
              <w:rPr>
                <w:rFonts w:eastAsia="Times New Roman" w:cs="Times New Roman"/>
                <w:sz w:val="22"/>
                <w:lang w:eastAsia="ru-RU"/>
              </w:rPr>
              <w:t>0,5</w:t>
            </w:r>
          </w:p>
          <w:p>
            <w:pPr>
              <w:pStyle w:val="Normal"/>
              <w:spacing w:before="0" w:after="200"/>
              <w:jc w:val="center"/>
              <w:rPr>
                <w:sz w:val="22"/>
              </w:rPr>
            </w:pPr>
            <w:r>
              <w:rPr>
                <w:sz w:val="22"/>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eastAsia="Times New Roman" w:cs="Times New Roman"/>
                <w:sz w:val="22"/>
                <w:lang w:eastAsia="ru-RU"/>
              </w:rPr>
            </w:pPr>
            <w:r>
              <w:rPr>
                <w:rFonts w:eastAsia="Times New Roman" w:cs="Times New Roman"/>
                <w:sz w:val="22"/>
                <w:lang w:eastAsia="ru-RU"/>
              </w:rPr>
              <w:t>0,5</w:t>
            </w:r>
          </w:p>
          <w:p>
            <w:pPr>
              <w:pStyle w:val="Normal"/>
              <w:spacing w:before="0" w:after="200"/>
              <w:jc w:val="center"/>
              <w:rPr>
                <w:sz w:val="22"/>
              </w:rPr>
            </w:pPr>
            <w:r>
              <w:rPr>
                <w:sz w:val="22"/>
              </w:rPr>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rHeight w:val="438"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41.2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Обеспечение продвижения винодельческой продукции Краснодарского края на потребительский рынок путем проведения выставок, инфотуров, форумов и т.п.</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создание условий для обеспечения потребительского рынка винодельческой продукцией высокого качества; проведение конгрессно-выставочных мероприятий с участием предприятий винодельческой отрасли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количество участников в совместных мероприятиях,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не менее единиц</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40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pPr>
            <w:r>
              <w:rPr>
                <w:rFonts w:eastAsia="Times New Roman" w:cs="Times New Roman"/>
                <w:sz w:val="22"/>
                <w:lang w:eastAsia="ru-RU"/>
              </w:rPr>
              <w:t>40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pPr>
            <w:r>
              <w:rPr>
                <w:rFonts w:eastAsia="Times New Roman" w:cs="Times New Roman"/>
                <w:sz w:val="22"/>
                <w:lang w:eastAsia="ru-RU"/>
              </w:rPr>
              <w:t>40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pPr>
            <w:r>
              <w:rPr>
                <w:rFonts w:eastAsia="Times New Roman" w:cs="Times New Roman"/>
                <w:sz w:val="22"/>
                <w:lang w:eastAsia="ru-RU"/>
              </w:rPr>
              <w:t>40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pPr>
            <w:r>
              <w:rPr>
                <w:rFonts w:eastAsia="Times New Roman" w:cs="Times New Roman"/>
                <w:sz w:val="22"/>
                <w:lang w:eastAsia="ru-RU"/>
              </w:rPr>
              <w:t>40</w:t>
            </w:r>
          </w:p>
        </w:tc>
        <w:tc>
          <w:tcPr>
            <w:tcW w:w="1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rHeight w:val="438" w:hRule="atLeast"/>
        </w:trPr>
        <w:tc>
          <w:tcPr>
            <w:tcW w:w="14594" w:type="dxa"/>
            <w:gridSpan w:val="11"/>
            <w:tcBorders>
              <w:top w:val="single" w:sz="4" w:space="0" w:color="000000"/>
              <w:left w:val="single" w:sz="4" w:space="0" w:color="000000"/>
              <w:bottom w:val="single" w:sz="4" w:space="0" w:color="000000"/>
              <w:right w:val="single" w:sz="4" w:space="0" w:color="000000"/>
            </w:tcBorders>
            <w:shd w:color="auto" w:fill="E2EFD9" w:themeFill="accent6" w:themeFillTint="33" w:val="clear"/>
          </w:tcPr>
          <w:p>
            <w:pPr>
              <w:pStyle w:val="ListParagraph"/>
              <w:numPr>
                <w:ilvl w:val="0"/>
                <w:numId w:val="1"/>
              </w:numPr>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Рынок спортивных услуг</w:t>
            </w:r>
          </w:p>
        </w:tc>
      </w:tr>
      <w:tr>
        <w:trPr>
          <w:trHeight w:val="438" w:hRule="atLeast"/>
        </w:trPr>
        <w:tc>
          <w:tcPr>
            <w:tcW w:w="14594"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По итогам 2020 года в Краснодарском крае доля граждан, систематически занимающихся физической культурой и спортом, составила 54,5 %. Общее количество спортивных сооружений составило 9 982 объекта. В соответствии с </w:t>
            </w:r>
            <w:r>
              <w:rPr>
                <w:sz w:val="22"/>
              </w:rPr>
              <w:t>Указом Президентом Российской Федерации от 21.07.2020 № 474 «О национальных целях развития России до 2030 года» поставлена задача к 2030 году обеспечить увеличение до 70 % доли граждан, систематически занимающихся физической культурой и спортом.</w:t>
            </w:r>
          </w:p>
        </w:tc>
      </w:tr>
      <w:tr>
        <w:trPr>
          <w:trHeight w:val="438"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42.1</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Вовлечение граждан в занятия физической культурой и спортом на регулярной основе</w:t>
            </w:r>
          </w:p>
          <w:p>
            <w:pPr>
              <w:pStyle w:val="Normal"/>
              <w:spacing w:lineRule="auto" w:line="240" w:before="0" w:after="0"/>
              <w:ind w:right="-31" w:hanging="0"/>
              <w:rPr>
                <w:rFonts w:eastAsia="Calibri" w:cs="Times New Roman"/>
                <w:color w:val="000000"/>
                <w:sz w:val="22"/>
                <w:lang w:eastAsia="ru-RU"/>
              </w:rPr>
            </w:pPr>
            <w:r>
              <w:rPr>
                <w:rFonts w:eastAsia="Calibri" w:cs="Times New Roman"/>
                <w:color w:val="000000"/>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увеличение доля граждан, систематически занимающихся физической культурой и спортом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highlight w:val="cyan"/>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доля граждан, систематически занимающихся физической культурой и спортом, </w:t>
            </w:r>
          </w:p>
          <w:p>
            <w:pPr>
              <w:pStyle w:val="Normal"/>
              <w:spacing w:lineRule="auto" w:line="240" w:before="0" w:after="0"/>
              <w:ind w:right="-31" w:hanging="0"/>
              <w:rPr>
                <w:rFonts w:eastAsia="Times New Roman" w:cs="Times New Roman"/>
                <w:sz w:val="22"/>
                <w:highlight w:val="cyan"/>
                <w:lang w:eastAsia="ru-RU"/>
              </w:rPr>
            </w:pPr>
            <w:r>
              <w:rPr>
                <w:rFonts w:eastAsia="Times New Roman" w:cs="Times New Roman"/>
                <w:sz w:val="22"/>
                <w:lang w:eastAsia="ru-RU"/>
              </w:rPr>
              <w:t xml:space="preserve">процентов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56,5</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58,0</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60,0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62,0</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64,0</w:t>
            </w:r>
          </w:p>
        </w:tc>
        <w:tc>
          <w:tcPr>
            <w:tcW w:w="19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физической культуры и спорта Краснодарского края, органы местного самоуправления муниципальных образований Краснодарского края (по согласованию)</w:t>
            </w:r>
          </w:p>
        </w:tc>
      </w:tr>
      <w:tr>
        <w:trPr>
          <w:trHeight w:val="438"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42.2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Calibri" w:cs="Times New Roman"/>
                <w:color w:val="000000"/>
                <w:sz w:val="22"/>
                <w:lang w:eastAsia="ru-RU"/>
              </w:rPr>
            </w:pPr>
            <w:r>
              <w:rPr>
                <w:rFonts w:eastAsia="Calibri" w:cs="Times New Roman"/>
                <w:color w:val="000000"/>
                <w:sz w:val="22"/>
                <w:lang w:eastAsia="ru-RU"/>
              </w:rPr>
              <w:t xml:space="preserve">Развитие сети </w:t>
            </w:r>
            <w:r>
              <w:rPr>
                <w:rFonts w:eastAsia="Times New Roman" w:cs="Times New Roman"/>
                <w:sz w:val="22"/>
                <w:lang w:eastAsia="ru-RU"/>
              </w:rPr>
              <w:t xml:space="preserve">спортивных сооружений на территории Краснодарского края </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уровня обеспеченности граждан спортивными сооружениями исходя из единовременной пропускной способности</w:t>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обеспеченность спортивными сооружениями, исходя из единовременной пропускной способности, процентов</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59,1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59,6</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60,1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60,6</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60,8</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r>
        <w:trPr>
          <w:trHeight w:val="438"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42.3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Calibri" w:cs="Times New Roman"/>
                <w:color w:val="000000"/>
                <w:sz w:val="22"/>
                <w:lang w:eastAsia="ru-RU"/>
              </w:rPr>
              <w:t xml:space="preserve">Формирование перечня физкультурно-спортивных организаций, индивидуальных предпринимателей, оказывающих физкультурно-оздоровительные услуги, на территории Краснодарского края </w:t>
            </w:r>
          </w:p>
          <w:p>
            <w:pPr>
              <w:pStyle w:val="Normal"/>
              <w:spacing w:lineRule="auto" w:line="240" w:before="0" w:after="0"/>
              <w:rPr>
                <w:rFonts w:eastAsia="Calibri" w:cs="Times New Roman"/>
                <w:color w:val="000000"/>
                <w:sz w:val="22"/>
                <w:lang w:eastAsia="ru-RU"/>
              </w:rPr>
            </w:pPr>
            <w:r>
              <w:rPr>
                <w:rFonts w:eastAsia="Calibri" w:cs="Times New Roman"/>
                <w:color w:val="000000"/>
                <w:sz w:val="22"/>
                <w:lang w:eastAsia="ru-RU"/>
              </w:rPr>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уровня информированности организаций и населения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27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szCs w:val="24"/>
                <w:lang w:eastAsia="ru-RU"/>
              </w:rPr>
            </w:pPr>
            <w:r>
              <w:rPr>
                <w:rFonts w:eastAsia="Times New Roman" w:cs="Times New Roman"/>
                <w:sz w:val="22"/>
                <w:lang w:eastAsia="ru-RU"/>
              </w:rPr>
              <w:t>направление информации в министерство спорта Российской Федерации, наличие</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19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r>
    </w:tbl>
    <w:p>
      <w:pPr>
        <w:pStyle w:val="Normal"/>
        <w:spacing w:lineRule="auto" w:line="240" w:before="0" w:after="0"/>
        <w:ind w:right="-31" w:hanging="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right="-31" w:hanging="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right="-31" w:hanging="0"/>
        <w:jc w:val="center"/>
        <w:rPr>
          <w:rFonts w:eastAsia="Times New Roman" w:cs="Times New Roman"/>
          <w:kern w:val="2"/>
          <w:sz w:val="24"/>
          <w:szCs w:val="24"/>
          <w:lang w:eastAsia="ru-RU"/>
        </w:rPr>
      </w:pPr>
      <w:r>
        <w:rPr>
          <w:rFonts w:eastAsia="Times New Roman" w:cs="Times New Roman"/>
          <w:sz w:val="24"/>
          <w:szCs w:val="24"/>
          <w:lang w:eastAsia="ru-RU"/>
        </w:rPr>
        <w:t xml:space="preserve">Раздел 3. </w:t>
      </w:r>
      <w:r>
        <w:rPr>
          <w:rFonts w:eastAsia="Times New Roman" w:cs="Times New Roman"/>
          <w:kern w:val="2"/>
          <w:sz w:val="24"/>
          <w:szCs w:val="24"/>
          <w:lang w:eastAsia="ru-RU"/>
        </w:rPr>
        <w:t xml:space="preserve">Системные мероприятия, направленные на развитие конкуренции в Краснодарском крае </w:t>
      </w:r>
    </w:p>
    <w:p>
      <w:pPr>
        <w:pStyle w:val="Normal"/>
        <w:spacing w:lineRule="auto" w:line="240" w:before="0" w:after="0"/>
        <w:ind w:right="-31" w:hanging="0"/>
        <w:jc w:val="center"/>
        <w:rPr>
          <w:rFonts w:eastAsia="Times New Roman" w:cs="Times New Roman"/>
          <w:kern w:val="2"/>
          <w:sz w:val="24"/>
          <w:szCs w:val="24"/>
          <w:lang w:eastAsia="ru-RU"/>
        </w:rPr>
      </w:pPr>
      <w:r>
        <w:rPr>
          <w:rFonts w:eastAsia="Times New Roman" w:cs="Times New Roman"/>
          <w:kern w:val="2"/>
          <w:sz w:val="24"/>
          <w:szCs w:val="24"/>
          <w:lang w:eastAsia="ru-RU"/>
        </w:rPr>
      </w:r>
    </w:p>
    <w:tbl>
      <w:tblPr>
        <w:tblW w:w="14596" w:type="dxa"/>
        <w:jc w:val="left"/>
        <w:tblInd w:w="0" w:type="dxa"/>
        <w:tblCellMar>
          <w:top w:w="0" w:type="dxa"/>
          <w:left w:w="108" w:type="dxa"/>
          <w:bottom w:w="0" w:type="dxa"/>
          <w:right w:w="108" w:type="dxa"/>
        </w:tblCellMar>
        <w:tblLook w:val="04a0" w:noVBand="1" w:noHBand="0" w:lastColumn="0" w:firstColumn="1" w:lastRow="0" w:firstRow="1"/>
      </w:tblPr>
      <w:tblGrid>
        <w:gridCol w:w="703"/>
        <w:gridCol w:w="3401"/>
        <w:gridCol w:w="2551"/>
        <w:gridCol w:w="1559"/>
        <w:gridCol w:w="2267"/>
        <w:gridCol w:w="1842"/>
        <w:gridCol w:w="2272"/>
      </w:tblGrid>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п/п</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Наименование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системного мероприятия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Решаемая проблематика</w:t>
            </w:r>
          </w:p>
        </w:tc>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Срок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исполнения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мероприятия</w:t>
            </w:r>
          </w:p>
        </w:tc>
        <w:tc>
          <w:tcPr>
            <w:tcW w:w="22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Результат исполнения</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Ответственный </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разработчик</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Ответственный исполнитель, </w:t>
              <w:br/>
              <w:t>соисполнитель</w:t>
            </w:r>
          </w:p>
        </w:tc>
      </w:tr>
    </w:tbl>
    <w:p>
      <w:pPr>
        <w:pStyle w:val="Normal"/>
        <w:spacing w:lineRule="auto" w:line="240" w:before="0" w:after="0"/>
        <w:jc w:val="left"/>
        <w:rPr>
          <w:rFonts w:eastAsia="Times New Roman" w:cs="Times New Roman"/>
          <w:sz w:val="2"/>
          <w:szCs w:val="2"/>
          <w:lang w:eastAsia="ru-RU"/>
        </w:rPr>
      </w:pPr>
      <w:r>
        <w:rPr>
          <w:rFonts w:eastAsia="Times New Roman" w:cs="Times New Roman"/>
          <w:sz w:val="2"/>
          <w:szCs w:val="2"/>
          <w:lang w:eastAsia="ru-RU"/>
        </w:rPr>
      </w:r>
    </w:p>
    <w:tbl>
      <w:tblPr>
        <w:tblW w:w="14596" w:type="dxa"/>
        <w:jc w:val="left"/>
        <w:tblInd w:w="0" w:type="dxa"/>
        <w:tblCellMar>
          <w:top w:w="0" w:type="dxa"/>
          <w:left w:w="108" w:type="dxa"/>
          <w:bottom w:w="0" w:type="dxa"/>
          <w:right w:w="108" w:type="dxa"/>
        </w:tblCellMar>
        <w:tblLook w:val="04a0" w:noVBand="1" w:noHBand="0" w:lastColumn="0" w:firstColumn="1" w:lastRow="0" w:firstRow="1"/>
      </w:tblPr>
      <w:tblGrid>
        <w:gridCol w:w="703"/>
        <w:gridCol w:w="3401"/>
        <w:gridCol w:w="2551"/>
        <w:gridCol w:w="1416"/>
        <w:gridCol w:w="2410"/>
        <w:gridCol w:w="1842"/>
        <w:gridCol w:w="2272"/>
      </w:tblGrid>
      <w:tr>
        <w:trPr>
          <w:tblHeader w:val="true"/>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2</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3</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4</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6</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7</w:t>
            </w:r>
          </w:p>
        </w:tc>
      </w:tr>
      <w:tr>
        <w:trPr>
          <w:trHeight w:val="400" w:hRule="atLeast"/>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развитие конкурентоспособности товаров, работ, услуг субъектов малого и среднего предпринимательства</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конгрессно-выставочных мероприятий с участием товаропроизводителей Краснодарского края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недостаточное информирование потенциальных потребителей о выпускаемой предприятиями Краснодарского края продукции</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ежегодно, в соответствии с утверждённым календарным планом мероприятий </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увеличение числа проинформированных потребителей выпускаемой предприятиями Краснодарского края продукции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Актуализация размещенного на официальном сайте департамента промышленной политики Краснодарского края Каталога промышленной продукции, Каталога строительных материалов, Каталога российских производителей специализированной техники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информирование потенциальных потребителей о выпускаемой промышленными предприятиями Краснодарского края продукции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увеличение числа проинформированных потребителей выпускаемой промышленными предприятиями Краснодарского края продукции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промышленной политики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1.3</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Формирование конкурентоспособного туристского продукта, включающего набор комплексных предложений (как для летнего и зимнего туристических сезонов, так и для периода межсезонья)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качества обслуживания, улучшение материально-технической базы предприятий, прирост турпотока</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формирование высокотехнологичного, доступного, понятного на международном уровне туристского продукта, включающего набор комплексных предложений для каждого сезона и межсезонья, ориентированных как на национального, так и на международного потребителя</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курортов, туризма и олимпийского наследия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проектный комитет по стратегическому направлению развития «Туристско-рекреационный кластер»,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региональный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бизнес – отраслевые лидеры,</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ассоциации предпринимателей (по согласованию)</w:t>
            </w:r>
          </w:p>
        </w:tc>
      </w:tr>
      <w:tr>
        <w:trPr>
          <w:trHeight w:val="1997"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1.4</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Заключение соглашений о реализации одобренных инвестиционных проектов в целях применения налоговой льготы по налогу на имущество организаций для инвесторов, реализующих одобренные инвестиционные проекты в санаторно-курортной и туристской отрасли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введение новых объектов курортно-туристского комплекса</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увеличение объема и качества государственной поддержки реализации приоритетных проектов развития санаторно-курортного и туристского комплекса</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курортов, туризма и олимпийского наследия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экспертная межведомственная инвестиционная комиссия Краснодарского края</w:t>
            </w:r>
          </w:p>
        </w:tc>
      </w:tr>
      <w:tr>
        <w:trPr>
          <w:trHeight w:val="264"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1.5</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cs="Times New Roman"/>
                <w:bCs/>
                <w:color w:val="000000"/>
                <w:sz w:val="22"/>
              </w:rPr>
              <w:t>Содействие повышению качества и культуры в торговле и сервисе</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cs="Times New Roman"/>
                <w:bCs/>
                <w:color w:val="000000"/>
                <w:sz w:val="22"/>
              </w:rPr>
              <w:t>наличие фактов продажи товара и оказания услуг ненадлежащего качества, без необходимой документации.  Недостаточная удовлетворенность потребителя в качественных, безопасных товарах и услугах по доступным ценам</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cs="Times New Roman"/>
                <w:bCs/>
                <w:color w:val="000000"/>
                <w:sz w:val="22"/>
              </w:rPr>
              <w:t xml:space="preserve">формирование комфортной потребительской среды, </w:t>
            </w:r>
            <w:r>
              <w:rPr>
                <w:rFonts w:eastAsia="Times New Roman" w:cs="Times New Roman"/>
                <w:sz w:val="22"/>
                <w:lang w:eastAsia="ru-RU"/>
              </w:rPr>
              <w:t>повышение качества обслуживания, стабилизация цен</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департамент потребительской 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 </w:t>
            </w:r>
          </w:p>
        </w:tc>
      </w:tr>
      <w:tr>
        <w:trPr>
          <w:trHeight w:val="261"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1.6</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cs="Times New Roman"/>
                <w:bCs/>
                <w:color w:val="000000"/>
                <w:sz w:val="22"/>
              </w:rPr>
              <w:t>Привлечение производителей кубанской продукции</w:t>
            </w:r>
            <w:r>
              <w:rPr>
                <w:rFonts w:eastAsia="Times New Roman" w:cs="Times New Roman"/>
                <w:sz w:val="22"/>
                <w:lang w:eastAsia="ru-RU"/>
              </w:rPr>
              <w:t xml:space="preserve"> к числу</w:t>
            </w:r>
            <w:r>
              <w:rPr>
                <w:rFonts w:cs="Times New Roman"/>
                <w:bCs/>
                <w:color w:val="000000"/>
                <w:sz w:val="22"/>
              </w:rPr>
              <w:t xml:space="preserve"> зарегистрированных </w:t>
            </w:r>
            <w:r>
              <w:rPr>
                <w:rFonts w:eastAsia="Times New Roman" w:cs="Times New Roman"/>
                <w:sz w:val="22"/>
                <w:lang w:eastAsia="ru-RU"/>
              </w:rPr>
              <w:t xml:space="preserve">на </w:t>
            </w:r>
            <w:r>
              <w:rPr>
                <w:rFonts w:cs="Times New Roman"/>
                <w:sz w:val="22"/>
              </w:rPr>
              <w:t xml:space="preserve">торговой платформе Кубани «Электронный справочник» </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cs="Times New Roman"/>
                <w:bCs/>
                <w:color w:val="000000"/>
                <w:sz w:val="22"/>
              </w:rPr>
              <w:t xml:space="preserve">недостаточная информационная обеспеченность торговых объектов о краевых производителях </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cs="Times New Roman"/>
                <w:bCs/>
                <w:color w:val="000000"/>
                <w:sz w:val="22"/>
              </w:rPr>
              <w:t xml:space="preserve">увеличение количества договоров поставки товаров краевых производителей без посредников, обеспечение потребителя качественными и безопасными товарами по доступным ценам – </w:t>
            </w:r>
            <w:r>
              <w:rPr>
                <w:rFonts w:cs="Times New Roman"/>
                <w:sz w:val="22"/>
              </w:rPr>
              <w:t>ежегодно не менее 50 хозяйствующих субъектов</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tc>
      </w:tr>
      <w:tr>
        <w:trPr>
          <w:trHeight w:val="261"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1.7</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szCs w:val="24"/>
                <w:lang w:eastAsia="ru-RU"/>
              </w:rPr>
            </w:pPr>
            <w:r>
              <w:rPr>
                <w:rFonts w:eastAsia="Times New Roman" w:cs="Times New Roman"/>
                <w:sz w:val="22"/>
                <w:szCs w:val="24"/>
                <w:lang w:eastAsia="ru-RU"/>
              </w:rPr>
              <w:t>Упорядочение и развитие сферы дорожного сервиса в рамках деятельности межведомственной комиссии по изучению состояния объектов дорожного сервиса на территории Краснодарского края</w:t>
            </w:r>
          </w:p>
          <w:p>
            <w:pPr>
              <w:pStyle w:val="Normal"/>
              <w:spacing w:lineRule="auto" w:line="240" w:before="0" w:after="0"/>
              <w:rPr>
                <w:rFonts w:eastAsia="Times New Roman" w:cs="Times New Roman"/>
                <w:strike/>
                <w:sz w:val="22"/>
                <w:lang w:eastAsia="ru-RU"/>
              </w:rPr>
            </w:pPr>
            <w:r>
              <w:rPr>
                <w:rFonts w:eastAsia="Times New Roman" w:cs="Times New Roman"/>
                <w:strike/>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Cs/>
                <w:color w:val="000000"/>
                <w:sz w:val="20"/>
              </w:rPr>
            </w:pPr>
            <w:r>
              <w:rPr>
                <w:rFonts w:eastAsia="Times New Roman" w:cs="Times New Roman"/>
                <w:sz w:val="22"/>
                <w:szCs w:val="24"/>
                <w:lang w:eastAsia="ru-RU"/>
              </w:rPr>
              <w:t>повышение качества придорожного сервиса и придорожной инфраструктуры</w:t>
            </w:r>
          </w:p>
          <w:p>
            <w:pPr>
              <w:pStyle w:val="Normal"/>
              <w:spacing w:lineRule="auto" w:line="240" w:before="0" w:after="0"/>
              <w:rPr>
                <w:bCs/>
                <w:color w:val="000000"/>
                <w:sz w:val="22"/>
              </w:rPr>
            </w:pPr>
            <w:r>
              <w:rPr>
                <w:bCs/>
                <w:color w:val="000000"/>
                <w:sz w:val="22"/>
              </w:rPr>
            </w:r>
          </w:p>
          <w:p>
            <w:pPr>
              <w:pStyle w:val="Normal"/>
              <w:spacing w:lineRule="auto" w:line="240" w:before="0" w:after="0"/>
              <w:rPr>
                <w:bCs/>
                <w:color w:val="000000"/>
                <w:sz w:val="22"/>
              </w:rPr>
            </w:pPr>
            <w:r>
              <w:rPr>
                <w:bCs/>
                <w:color w:val="000000"/>
                <w:sz w:val="22"/>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создание комфортных условий для туристов, путешествующих по территории Краснодарского края на автомобильном транспорте</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 члены</w:t>
            </w:r>
            <w:r>
              <w:rPr>
                <w:bCs/>
                <w:color w:val="000000"/>
                <w:sz w:val="22"/>
              </w:rPr>
              <w:t xml:space="preserve"> межведомственной комиссии по изучению состояния объектов дорожного сервиса на территории Краснодарского края (по согласованию); </w:t>
            </w: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261"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1.8</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Default"/>
              <w:jc w:val="both"/>
              <w:rPr>
                <w:rFonts w:ascii="Times New Roman" w:hAnsi="Times New Roman" w:cs="Times New Roman"/>
                <w:sz w:val="22"/>
                <w:szCs w:val="22"/>
              </w:rPr>
            </w:pPr>
            <w:r>
              <w:rPr>
                <w:rFonts w:cs="Times New Roman" w:ascii="Times New Roman" w:hAnsi="Times New Roman"/>
                <w:color w:val="auto"/>
                <w:sz w:val="22"/>
                <w:szCs w:val="22"/>
              </w:rPr>
              <w:t xml:space="preserve">Организация участия в конгрессно-выставочных мероприятиях федерального, межрегионального и регионального уровней предприятий, товары которых отмечены знаком качества «Сделано на Кубани» </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Times New Roman" w:hAnsi="Times New Roman"/>
              </w:rPr>
            </w:pPr>
            <w:r>
              <w:rPr>
                <w:rFonts w:ascii="Times New Roman" w:hAnsi="Times New Roman"/>
              </w:rPr>
              <w:t>недостаточная информационная поддержка качественных товаров края</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Times New Roman" w:hAnsi="Times New Roman"/>
              </w:rPr>
            </w:pPr>
            <w:r>
              <w:rPr>
                <w:rFonts w:ascii="Times New Roman" w:hAnsi="Times New Roman"/>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cs="Times New Roman"/>
                <w:sz w:val="22"/>
              </w:rPr>
              <w:t>повышение узнаваемости товаров со знаком качества «Сделано на Кубани» на территории Краснодарского края и за его пределами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КК; органы местного самоуправления муниципальных образований КК (по согласованию); краевые фонды поддержки предпринимательства (по согласованию)</w:t>
            </w:r>
          </w:p>
        </w:tc>
      </w:tr>
      <w:tr>
        <w:trPr>
          <w:trHeight w:val="261"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1.9</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Default"/>
              <w:jc w:val="both"/>
              <w:rPr>
                <w:rFonts w:ascii="Times New Roman" w:hAnsi="Times New Roman" w:cs="Times New Roman"/>
                <w:sz w:val="22"/>
                <w:szCs w:val="22"/>
              </w:rPr>
            </w:pPr>
            <w:r>
              <w:rPr>
                <w:rFonts w:cs="Times New Roman" w:ascii="Times New Roman" w:hAnsi="Times New Roman"/>
                <w:sz w:val="22"/>
                <w:szCs w:val="22"/>
              </w:rPr>
              <w:t>Содействие развитию многоформатной торговли, в том числе интернет-торговли</w:t>
            </w:r>
          </w:p>
          <w:p>
            <w:pPr>
              <w:pStyle w:val="Default"/>
              <w:jc w:val="both"/>
              <w:rPr>
                <w:rFonts w:ascii="Times New Roman" w:hAnsi="Times New Roman" w:cs="Times New Roman"/>
                <w:sz w:val="22"/>
                <w:szCs w:val="22"/>
              </w:rPr>
            </w:pPr>
            <w:r>
              <w:rPr>
                <w:rFonts w:cs="Times New Roman" w:ascii="Times New Roman" w:hAnsi="Times New Roman"/>
                <w:sz w:val="22"/>
                <w:szCs w:val="22"/>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высокая доля торговых сетей на региональных товарных рынках реализации продовольственных товаров</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удовлетворение потребительского спроса путем возможного осуществления покупок </w:t>
            </w:r>
            <w:r>
              <w:rPr>
                <w:rFonts w:cs="Times New Roman"/>
                <w:color w:val="000000" w:themeColor="text1"/>
                <w:sz w:val="22"/>
              </w:rPr>
              <w:t>различными способами в многоформатной торговле</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w:t>
            </w:r>
          </w:p>
        </w:tc>
      </w:tr>
      <w:tr>
        <w:trPr>
          <w:trHeight w:val="261"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1.10</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sz w:val="22"/>
              </w:rPr>
              <w:t xml:space="preserve">Содействие проведению закупочных сессий торговыми </w:t>
              <w:br/>
              <w:t>сетевыми компаниями с региональными товаропроизводителями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недостаточное взаимодействие торговых сетевых компаний и местных товаропроизводителей в прямых поставках</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увеличение числа местной продукции на полках сетевых торговых компаний</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w:t>
            </w:r>
          </w:p>
        </w:tc>
      </w:tr>
      <w:tr>
        <w:trPr>
          <w:trHeight w:val="599" w:hRule="atLeast"/>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trike/>
                <w:sz w:val="22"/>
                <w:lang w:eastAsia="ru-RU"/>
              </w:rPr>
            </w:pPr>
            <w:r>
              <w:rPr>
                <w:rFonts w:eastAsia="Times New Roman" w:cs="Times New Roman"/>
                <w:sz w:val="22"/>
                <w:lang w:eastAsia="ru-RU"/>
              </w:rPr>
              <w:t xml:space="preserve">Реализация мероприятий, направленных на оказание поддержки субъектам малого и среднего предпринимательства в целях стимулирования их развития в качестве поставщиков (исполнителей, подрядчиков) при осуществлении закупок товаров, работ, услуг заказчиками, определенными Правительством Российской Федерации в соответствии с Федеральным законом </w:t>
              <w:br/>
              <w:t>от 18 июля 2011 г. № 223-ФЗ «О закупках товаров, работ, услуг отдельными видами юридических лиц»</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оказание поддержки субъектам МСП в целях стимулирования их развития в качестве поставщиков (исполнителей, подрядчиков) при осуществлении закупок товаров, работ, услуг заказчиками</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заключены договоры не менее чем с 4 субъектами МСП на оказание им услуг ежегодно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унитарная некоммерческая организация «Фонд развития бизнеса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ListParagraph"/>
              <w:spacing w:lineRule="auto" w:line="240" w:before="0" w:after="0"/>
              <w:ind w:left="0" w:hanging="0"/>
              <w:contextualSpacing/>
              <w:rPr>
                <w:rFonts w:cs="Times New Roman"/>
                <w:sz w:val="22"/>
                <w:szCs w:val="24"/>
              </w:rPr>
            </w:pPr>
            <w:r>
              <w:rPr>
                <w:rFonts w:cs="Times New Roman"/>
                <w:sz w:val="22"/>
                <w:szCs w:val="24"/>
              </w:rPr>
              <w:t xml:space="preserve">Расширение практики применения совместных закупок </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szCs w:val="24"/>
              </w:rPr>
            </w:pPr>
            <w:r>
              <w:rPr>
                <w:rFonts w:cs="Times New Roman"/>
                <w:sz w:val="22"/>
                <w:szCs w:val="24"/>
              </w:rPr>
              <w:t xml:space="preserve">обеспечение единообразного подхода к описанию объекта закупки и условий исполнения контракта, </w:t>
              <w:br/>
              <w:t>минимизация трудозатрат заказчиков Краснодарского края, а также коррупционных рисков и нарушений при проведении закупок</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Times New Roman"/>
                <w:sz w:val="22"/>
                <w:szCs w:val="24"/>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szCs w:val="24"/>
              </w:rPr>
            </w:pPr>
            <w:r>
              <w:rPr>
                <w:rFonts w:cs="Times New Roman"/>
                <w:sz w:val="22"/>
                <w:szCs w:val="24"/>
              </w:rPr>
              <w:t xml:space="preserve">оптимизация процедур государственных и муниципальных закупок; увеличение числа участников совместных закупок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cs="Times New Roman"/>
                <w:sz w:val="22"/>
                <w:szCs w:val="24"/>
              </w:rPr>
            </w:pPr>
            <w:r>
              <w:rPr>
                <w:rFonts w:cs="Times New Roman"/>
                <w:sz w:val="22"/>
                <w:szCs w:val="24"/>
              </w:rPr>
              <w:t xml:space="preserve">департамент по регулированию контрактной системы Краснодарского края </w:t>
            </w:r>
          </w:p>
          <w:p>
            <w:pPr>
              <w:pStyle w:val="Normal"/>
              <w:spacing w:lineRule="auto" w:line="240" w:before="0" w:after="0"/>
              <w:ind w:right="-31" w:hanging="0"/>
              <w:rPr>
                <w:rFonts w:cs="Times New Roman"/>
                <w:sz w:val="22"/>
                <w:szCs w:val="24"/>
              </w:rPr>
            </w:pPr>
            <w:r>
              <w:rPr>
                <w:rFonts w:cs="Times New Roman"/>
                <w:sz w:val="22"/>
                <w:szCs w:val="24"/>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cs="Times New Roman"/>
                <w:sz w:val="22"/>
                <w:szCs w:val="24"/>
              </w:rPr>
            </w:pPr>
            <w:r>
              <w:rPr>
                <w:rFonts w:cs="Times New Roman"/>
                <w:sz w:val="22"/>
                <w:szCs w:val="24"/>
              </w:rPr>
              <w:t xml:space="preserve">департамент по регулированию контрактной системы Краснодарского края, </w:t>
            </w:r>
          </w:p>
          <w:p>
            <w:pPr>
              <w:pStyle w:val="Normal"/>
              <w:spacing w:lineRule="auto" w:line="240" w:before="0" w:after="0"/>
              <w:ind w:right="-31" w:hanging="0"/>
              <w:rPr>
                <w:rFonts w:cs="Times New Roman"/>
                <w:sz w:val="22"/>
                <w:szCs w:val="24"/>
              </w:rPr>
            </w:pPr>
            <w:r>
              <w:rPr>
                <w:rFonts w:cs="Times New Roman"/>
                <w:sz w:val="22"/>
                <w:szCs w:val="24"/>
              </w:rPr>
              <w:t xml:space="preserve">главные распорядители средств краевого бюджета, </w:t>
            </w:r>
          </w:p>
          <w:p>
            <w:pPr>
              <w:pStyle w:val="Normal"/>
              <w:spacing w:lineRule="auto" w:line="240" w:before="0" w:after="0"/>
              <w:ind w:right="-31" w:hanging="0"/>
              <w:rPr>
                <w:rFonts w:cs="Times New Roman"/>
                <w:sz w:val="22"/>
                <w:szCs w:val="24"/>
              </w:rPr>
            </w:pPr>
            <w:r>
              <w:rPr>
                <w:rFonts w:cs="Times New Roman"/>
                <w:sz w:val="22"/>
                <w:szCs w:val="24"/>
              </w:rPr>
              <w:t>заказчики Краснодарского края</w:t>
            </w:r>
            <w:r>
              <w:rPr>
                <w:rFonts w:cs="Times New Roman"/>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pPr>
              <w:pStyle w:val="Normal"/>
              <w:spacing w:lineRule="auto" w:line="240" w:before="0" w:after="0"/>
              <w:ind w:right="-31" w:hanging="0"/>
              <w:rPr>
                <w:rFonts w:cs="Times New Roman"/>
                <w:sz w:val="22"/>
                <w:szCs w:val="24"/>
              </w:rPr>
            </w:pPr>
            <w:r>
              <w:rPr>
                <w:rFonts w:cs="Times New Roman"/>
                <w:sz w:val="22"/>
                <w:szCs w:val="24"/>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2.3</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Проведение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Краснодарского края, определенными Правительством Российской Федерации,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заказчиками Краснодарского края, определенными Правительством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szCs w:val="24"/>
              </w:rPr>
            </w:pPr>
            <w:r>
              <w:rPr>
                <w:rFonts w:cs="Times New Roman"/>
                <w:sz w:val="22"/>
                <w:szCs w:val="24"/>
              </w:rPr>
              <w:t>соблюдение субъектами естественных монополий и компаниями с государственным участием требований законодательства РФ, предусматривающих участие субъектов малого и среднего предпринимательства в закупках</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Times New Roman"/>
                <w:sz w:val="22"/>
                <w:szCs w:val="24"/>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34" w:right="34" w:hanging="0"/>
              <w:rPr>
                <w:rFonts w:cs="Times New Roman"/>
                <w:sz w:val="22"/>
                <w:szCs w:val="24"/>
              </w:rPr>
            </w:pPr>
            <w:r>
              <w:rPr>
                <w:rFonts w:cs="Times New Roman"/>
                <w:sz w:val="22"/>
                <w:szCs w:val="24"/>
              </w:rPr>
              <w:t xml:space="preserve">2022 год – не </w:t>
            </w:r>
          </w:p>
          <w:p>
            <w:pPr>
              <w:pStyle w:val="Normal"/>
              <w:spacing w:lineRule="auto" w:line="240" w:before="0" w:after="0"/>
              <w:ind w:left="34" w:right="34" w:hanging="0"/>
              <w:rPr>
                <w:rFonts w:cs="Times New Roman"/>
                <w:sz w:val="22"/>
                <w:szCs w:val="24"/>
              </w:rPr>
            </w:pPr>
            <w:r>
              <w:rPr>
                <w:rFonts w:cs="Times New Roman"/>
                <w:sz w:val="22"/>
                <w:szCs w:val="24"/>
              </w:rPr>
              <w:t>менее 25 %;</w:t>
            </w:r>
          </w:p>
          <w:p>
            <w:pPr>
              <w:pStyle w:val="Normal"/>
              <w:spacing w:lineRule="auto" w:line="240" w:before="0" w:after="0"/>
              <w:ind w:left="34" w:right="34" w:hanging="0"/>
              <w:rPr>
                <w:rFonts w:cs="Times New Roman"/>
                <w:sz w:val="22"/>
                <w:szCs w:val="24"/>
              </w:rPr>
            </w:pPr>
            <w:r>
              <w:rPr>
                <w:rFonts w:cs="Times New Roman"/>
                <w:sz w:val="22"/>
                <w:szCs w:val="24"/>
              </w:rPr>
              <w:t xml:space="preserve">2023 год – не </w:t>
            </w:r>
          </w:p>
          <w:p>
            <w:pPr>
              <w:pStyle w:val="Normal"/>
              <w:spacing w:lineRule="auto" w:line="240" w:before="0" w:after="0"/>
              <w:ind w:left="34" w:right="34" w:hanging="0"/>
              <w:rPr>
                <w:rFonts w:cs="Times New Roman"/>
                <w:sz w:val="22"/>
                <w:szCs w:val="24"/>
              </w:rPr>
            </w:pPr>
            <w:r>
              <w:rPr>
                <w:rFonts w:cs="Times New Roman"/>
                <w:sz w:val="22"/>
                <w:szCs w:val="24"/>
              </w:rPr>
              <w:t>менее 25 %;</w:t>
            </w:r>
          </w:p>
          <w:p>
            <w:pPr>
              <w:pStyle w:val="Normal"/>
              <w:spacing w:lineRule="auto" w:line="240" w:before="0" w:after="0"/>
              <w:ind w:left="34" w:right="34" w:hanging="0"/>
              <w:rPr>
                <w:rFonts w:cs="Times New Roman"/>
                <w:sz w:val="22"/>
                <w:szCs w:val="24"/>
              </w:rPr>
            </w:pPr>
            <w:r>
              <w:rPr>
                <w:rFonts w:cs="Times New Roman"/>
                <w:sz w:val="22"/>
                <w:szCs w:val="24"/>
              </w:rPr>
              <w:t xml:space="preserve">2024 год – не </w:t>
            </w:r>
          </w:p>
          <w:p>
            <w:pPr>
              <w:pStyle w:val="Normal"/>
              <w:spacing w:lineRule="auto" w:line="240" w:before="0" w:after="0"/>
              <w:ind w:left="34" w:right="34" w:hanging="0"/>
              <w:rPr>
                <w:rFonts w:cs="Times New Roman"/>
                <w:sz w:val="22"/>
                <w:szCs w:val="24"/>
              </w:rPr>
            </w:pPr>
            <w:r>
              <w:rPr>
                <w:rFonts w:cs="Times New Roman"/>
                <w:sz w:val="22"/>
                <w:szCs w:val="24"/>
              </w:rPr>
              <w:t>менее 25 %;</w:t>
            </w:r>
          </w:p>
          <w:p>
            <w:pPr>
              <w:pStyle w:val="Normal"/>
              <w:spacing w:lineRule="auto" w:line="240" w:before="0" w:after="0"/>
              <w:ind w:left="34" w:right="34" w:hanging="0"/>
              <w:rPr>
                <w:rFonts w:cs="Times New Roman"/>
                <w:sz w:val="22"/>
                <w:szCs w:val="24"/>
              </w:rPr>
            </w:pPr>
            <w:r>
              <w:rPr>
                <w:rFonts w:cs="Times New Roman"/>
                <w:sz w:val="22"/>
                <w:szCs w:val="24"/>
              </w:rPr>
              <w:t xml:space="preserve">2025 год – не </w:t>
            </w:r>
          </w:p>
          <w:p>
            <w:pPr>
              <w:pStyle w:val="Normal"/>
              <w:spacing w:lineRule="auto" w:line="240" w:before="0" w:after="0"/>
              <w:ind w:left="34" w:right="34" w:hanging="0"/>
              <w:rPr>
                <w:rFonts w:cs="Times New Roman"/>
                <w:sz w:val="22"/>
                <w:szCs w:val="24"/>
              </w:rPr>
            </w:pPr>
            <w:r>
              <w:rPr>
                <w:rFonts w:cs="Times New Roman"/>
                <w:sz w:val="22"/>
                <w:szCs w:val="24"/>
              </w:rPr>
              <w:t>менее 25 %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cs="Times New Roman"/>
                <w:sz w:val="22"/>
                <w:szCs w:val="24"/>
              </w:rPr>
            </w:pPr>
            <w:r>
              <w:rPr>
                <w:rFonts w:cs="Times New Roman"/>
                <w:sz w:val="22"/>
                <w:szCs w:val="24"/>
              </w:rPr>
              <w:t xml:space="preserve">департамент по регулированию контрактной системы Краснодарского края </w:t>
            </w:r>
          </w:p>
          <w:p>
            <w:pPr>
              <w:pStyle w:val="Normal"/>
              <w:spacing w:lineRule="auto" w:line="240" w:before="0" w:after="0"/>
              <w:rPr>
                <w:rFonts w:cs="Times New Roman"/>
                <w:sz w:val="22"/>
                <w:szCs w:val="24"/>
              </w:rPr>
            </w:pPr>
            <w:r>
              <w:rPr>
                <w:rFonts w:cs="Times New Roman"/>
                <w:sz w:val="22"/>
                <w:szCs w:val="24"/>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cs="Times New Roman"/>
                <w:sz w:val="22"/>
                <w:szCs w:val="24"/>
              </w:rPr>
            </w:pPr>
            <w:r>
              <w:rPr>
                <w:rFonts w:cs="Times New Roman"/>
                <w:sz w:val="22"/>
                <w:szCs w:val="24"/>
              </w:rPr>
              <w:t xml:space="preserve">департамент по регулированию контрактной системы Краснодарского края, </w:t>
            </w:r>
          </w:p>
          <w:p>
            <w:pPr>
              <w:pStyle w:val="Normal"/>
              <w:spacing w:lineRule="auto" w:line="240" w:before="0" w:after="0"/>
              <w:ind w:right="-31" w:hanging="0"/>
              <w:rPr>
                <w:rFonts w:cs="Times New Roman"/>
                <w:sz w:val="22"/>
                <w:szCs w:val="24"/>
              </w:rPr>
            </w:pPr>
            <w:r>
              <w:rPr>
                <w:rFonts w:cs="Times New Roman"/>
                <w:sz w:val="22"/>
                <w:szCs w:val="24"/>
              </w:rPr>
              <w:t xml:space="preserve">главные распорядители средств краевого бюджета, </w:t>
            </w:r>
          </w:p>
          <w:p>
            <w:pPr>
              <w:pStyle w:val="Normal"/>
              <w:spacing w:lineRule="auto" w:line="240" w:before="0" w:after="0"/>
              <w:ind w:right="-31" w:hanging="0"/>
              <w:rPr>
                <w:rFonts w:cs="Times New Roman"/>
                <w:sz w:val="22"/>
                <w:szCs w:val="24"/>
              </w:rPr>
            </w:pPr>
            <w:r>
              <w:rPr>
                <w:rFonts w:cs="Times New Roman"/>
                <w:sz w:val="22"/>
                <w:szCs w:val="24"/>
              </w:rPr>
              <w:t>заказчики Краснодарского края</w:t>
            </w:r>
            <w:r>
              <w:rPr>
                <w:rFonts w:cs="Times New Roman"/>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pPr>
              <w:pStyle w:val="Normal"/>
              <w:spacing w:lineRule="auto" w:line="240" w:before="0" w:after="0"/>
              <w:ind w:right="-31" w:hanging="0"/>
              <w:rPr>
                <w:rFonts w:cs="Times New Roman"/>
                <w:sz w:val="22"/>
                <w:szCs w:val="24"/>
              </w:rPr>
            </w:pPr>
            <w:r>
              <w:rPr>
                <w:rFonts w:cs="Times New Roman"/>
                <w:sz w:val="22"/>
                <w:szCs w:val="24"/>
              </w:rPr>
              <w:t>органы местного самоуправления муниципальных образований Краснодарского края (по согласованию)</w:t>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 xml:space="preserve">Мероприятия, направленные на устранение избыточного государственного и муниципального регулирования, а также на снижение </w:t>
            </w:r>
          </w:p>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административных барьеров</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3.1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color w:val="FF0000"/>
                <w:sz w:val="22"/>
                <w:lang w:eastAsia="ru-RU"/>
              </w:rPr>
            </w:pPr>
            <w:r>
              <w:rPr>
                <w:rFonts w:eastAsia="Times New Roman" w:cs="Times New Roman"/>
                <w:sz w:val="22"/>
                <w:lang w:eastAsia="ru-RU"/>
              </w:rPr>
              <w:t>Проведение мониторинга с целью определения административных барьеров, экономических ограничений, иных факторов, являющихся барьерами для входа на рынок (выхода с рынка), и их устранение</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избыточные ограничения для деятельности субъектов предпринимательства</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устранение избыточного государственного и муниципального регулирования, снижение административных барьеров</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3.2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Оптимизация процессов предоставления государственных услуг, относящихся к полномочиям Краснодарского края, а также муниципальных услуг для субъектов предпринимательской деятельности путем сокращения сроков их оказания и снижения их стоимости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недостаточный уровень удовлетворенности качеством и условиями предоставления услуг их получателями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устранение избыточного государственного и муниципального регулирования и снижение административных барьеров</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органы исполнительной власти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3.3</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оценки регулирующего воздействия проектов нормативных правовых актов Краснодарского края</w:t>
            </w:r>
          </w:p>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выявление положений, вводящих избыточные административные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краевого бюджета</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проведение оценки регулирующего воздействия в отношении всех проектов нормативных правовых актов Краснодарского края, относящихся к соответствующей предметной области </w:t>
              <w:br/>
              <w:t>(100 %)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Законодательное Собрание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регулирующие органы – органы исполнительной власти Краснодарского края, структурные подразделения администрации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3.4</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экспертизы нормативных правовых актов Краснодарского края, затрагивающих вопросы осуществления предпринимательской и инвестиционной деятельности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выявление положений, необоснованно затрудняющих ведение предпринимательской и инвестиционной деятельности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экспертизы нормативных правовых актов Краснодарского края, затрагивающих вопросы осуществления предпринимательской и инвестиционной деятельности, в соответствии с утвержденным планом (100 %)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инвестиций и развития малого и среднего предпринимательства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3.5</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выявление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проведение оценки регулирующего воздействия в отношении всех проектов муниципальных нормативных правовых актов, относящихся к соответствующей предметной области </w:t>
              <w:br/>
              <w:t>(100 %);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в соответствии с утвержденными планами </w:t>
              <w:br/>
              <w:t>(100 %)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3.6</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Улучшение условий ведения предпринимательской и инвестиционной деятельности в Краснодарском крае</w:t>
            </w:r>
          </w:p>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создание наиболее комфортных и безбарьерных условий для инвесторов и предпринимателей на территории Краснодарского края</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внедрение целевых моделей упрощения процедур ведения бизнеса и повышения инвестиционной привлекательности субъектов Российской Федерации;</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внедрение системы поддержки новых инвестиционных проектов «Региональный инвестиционный стандарт»;</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позиция Краснодарского края в Национальном рейтинге состояния инвестиционного климата в субъектах Российской Федерации к 2025 году – </w:t>
              <w:br/>
              <w:t xml:space="preserve">не ниже 7 места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территориальные органы по Краснодарскому краю федеральных органов исполнительной власти (по согласованию),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3.7</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Реализация мер по предоставлению налоговых льгот отдельным категориям налогоплательщиков, осуществляющих деятельность на товарных рынках Краснодарского края </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создание наиболее комфортных условий деятельности хозяйствующих субъектов </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увеличение доли присутствия частного бизнеса на товарных рынках Краснодарского края</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экономики Краснодарского края, министерство финансов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территориальные органы по Краснодарскому краю федеральных органов исполнительной власти (по согласованию),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органы местного самоуправления муниципальных образований Краснодарского края (по согласованию),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общественные организации, заинтересованные юридические лица и индивидуальные предприниматели (по согласованию)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3.8</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Повышение эффективности системы государственного управления регионом и удовлетворенности получателями качеством и условиями предоставления государственных (муниципальных) услуг через реализацию проекта «Бережливая Кубань» </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недостаточный уровень удовлетворенности качеством и условиями предоставления государственных (муниципальных) услуг их получателями,</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отсутствие культуры бережливого управления в органах исполнительной власти Краснодарского края</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color w:val="FF0000"/>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снижение времени протекания административных процессов и их оптимизация, улучшение качества предоставляемых услуг населению:</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в сфере образования – ежегодно реализуется не менее 100 проектов по повышению эффективности;</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в сфере здравоохранения – ежегодно реализуется не менее 30 проектов по повышению эффективности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муниципальных образований Краснодарского края (по согласованию)</w:t>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313"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совершенствование процессов управления в рамках полномочий органов исполнительной власти Краснодарского края или органов местного самоуправления муниципальных образований Краснодарского края, закрепленных за ними законодательством Российской Федерации, объектами государственной собственности Краснодарского края и муниципальной собственности, а также на ограничение влияния государственных и муниципальных предприятий на конкуренцию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4.1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Разработка, утверждение и выполнение комплекса мероприятий (программы)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наделенными правом осуществления предпринимательской деятельности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влияние государственных и муниципальных предприятий на развитие конкуренции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совершенствование процессов управления объектами государственной и муниципальной собственности, ограничение влияния государственных предприятий на конкуренцию</w:t>
            </w:r>
          </w:p>
          <w:p>
            <w:pPr>
              <w:pStyle w:val="Normal"/>
              <w:widowControl w:val="false"/>
              <w:spacing w:lineRule="auto" w:line="240" w:before="0" w:after="0"/>
              <w:jc w:val="left"/>
              <w:rPr>
                <w:rFonts w:eastAsia="Times New Roman" w:cs="Times New Roman"/>
                <w:sz w:val="22"/>
                <w:lang w:eastAsia="ru-RU"/>
              </w:rPr>
            </w:pPr>
            <w:r>
              <w:rPr>
                <w:rFonts w:eastAsia="Times New Roman" w:cs="Times New Roman"/>
                <w:sz w:val="22"/>
                <w:lang w:eastAsia="ru-RU"/>
              </w:rPr>
            </w:r>
          </w:p>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4.2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Оптимизация количества государственных унитарных предприятий и муниципальных унитарных предприятий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принятие решений о реорганизации или ликвидации неэффективных ГУП и МУП</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сокращение количества унитарных предприятий, осуществляющих деятельность на товарных рынках с развитой конкуренцией, путем приватизации, ликвидации либо реорганизации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4.3</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Опубликование и актуализация на официальном портале исполнительных органов государственной власти Краснодарского края в сети «Интернет» информации об объектах недвижимого имущества, находящихся в государственной собственности Краснодарского края,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равных условий доступа к информации об объектах недвижимого имущества, находящихся в государственной собственности Краснодарского края,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совершенствование процессов управления объектами государственной и муниципальной собственности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имущественных отношений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имущественных отношений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rHeight w:val="155" w:hRule="atLeast"/>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создание условий для недискриминационного доступа хозяйствующих субъектов на товарные рынки</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5.1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Выявление факторов, сдерживающих развитие конкуренции на территории Краснодарского края </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наличие административных барьеров для вхождения на конкурентные товарные рынки частных компаний </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создание условий доступа хозяйствующим субъектам на товарные рынки, мониторинг наличия административных барьеров входа на рынки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общественные и научные организации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5.2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bCs/>
                <w:sz w:val="22"/>
                <w:szCs w:val="24"/>
              </w:rPr>
            </w:pPr>
            <w:r>
              <w:rPr>
                <w:rFonts w:cs="Times New Roman"/>
                <w:bCs/>
                <w:sz w:val="22"/>
                <w:szCs w:val="24"/>
              </w:rPr>
              <w:t>Оказание содействия сельскохозяйственным товаропроизводителям Краснодарского края в реализации произведенной ими сельскохозяйственной продукции:</w:t>
            </w:r>
          </w:p>
          <w:p>
            <w:pPr>
              <w:pStyle w:val="Normal"/>
              <w:spacing w:lineRule="auto" w:line="240" w:before="0" w:after="0"/>
              <w:rPr>
                <w:rFonts w:cs="Times New Roman"/>
                <w:bCs/>
                <w:sz w:val="22"/>
                <w:szCs w:val="24"/>
              </w:rPr>
            </w:pPr>
            <w:r>
              <w:rPr>
                <w:rFonts w:cs="Times New Roman"/>
                <w:bCs/>
                <w:sz w:val="22"/>
                <w:szCs w:val="24"/>
              </w:rPr>
              <w:t>1) организация торговли в формате «ярмарки выходного дня», «фермерский дворик» на торговых площадках муниципальных образований;</w:t>
            </w:r>
          </w:p>
          <w:p>
            <w:pPr>
              <w:pStyle w:val="Normal"/>
              <w:spacing w:lineRule="auto" w:line="240" w:before="0" w:after="0"/>
              <w:rPr>
                <w:rFonts w:cs="Times New Roman"/>
                <w:bCs/>
                <w:sz w:val="22"/>
                <w:szCs w:val="24"/>
              </w:rPr>
            </w:pPr>
            <w:r>
              <w:rPr>
                <w:rFonts w:cs="Times New Roman"/>
                <w:bCs/>
                <w:sz w:val="22"/>
                <w:szCs w:val="24"/>
              </w:rPr>
              <w:t>2) проведение сезонных сельскохозяйственных ярмарок на территориях муниципальных образований;</w:t>
            </w:r>
          </w:p>
          <w:p>
            <w:pPr>
              <w:pStyle w:val="Normal"/>
              <w:spacing w:lineRule="auto" w:line="240" w:before="0" w:after="0"/>
              <w:rPr>
                <w:rFonts w:cs="Times New Roman"/>
                <w:bCs/>
                <w:sz w:val="22"/>
                <w:szCs w:val="24"/>
              </w:rPr>
            </w:pPr>
            <w:r>
              <w:rPr>
                <w:rFonts w:cs="Times New Roman"/>
                <w:bCs/>
                <w:sz w:val="22"/>
                <w:szCs w:val="24"/>
              </w:rPr>
              <w:t>3) организация выездной торговли непосредственно сельхозтоваропроизводителями;</w:t>
            </w:r>
          </w:p>
          <w:p>
            <w:pPr>
              <w:pStyle w:val="Normal"/>
              <w:widowControl w:val="false"/>
              <w:tabs>
                <w:tab w:val="clear" w:pos="708"/>
                <w:tab w:val="left" w:pos="330" w:leader="none"/>
              </w:tabs>
              <w:spacing w:lineRule="auto" w:line="240" w:before="0" w:after="0"/>
              <w:rPr>
                <w:rFonts w:eastAsia="Times New Roman" w:cs="Times New Roman"/>
                <w:sz w:val="22"/>
                <w:lang w:eastAsia="ru-RU"/>
              </w:rPr>
            </w:pPr>
            <w:r>
              <w:rPr>
                <w:rFonts w:cs="Times New Roman"/>
                <w:bCs/>
                <w:sz w:val="24"/>
                <w:szCs w:val="24"/>
              </w:rPr>
              <w:t>4</w:t>
            </w:r>
            <w:r>
              <w:rPr>
                <w:rFonts w:cs="Times New Roman"/>
                <w:bCs/>
                <w:sz w:val="22"/>
                <w:szCs w:val="24"/>
              </w:rPr>
              <w:t>) проведение инфотуров, закупочных сессий для местных производителей с целью увеличения доли местной продукции в торговой сети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расширение инфраструктуры реализации произведённой сельскохозяйственной продукции на территории Краснодарского края </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повышение возможности для сельскохозяйственных товаропроизводителей для реализации произведённой ими сельскохозяйственной продукции и повышению доступности продуктов питания местного производства для населения Краснодарского края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потребительской сферы и регулирования рынка алкоголя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5.3</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330" w:leader="none"/>
              </w:tabs>
              <w:spacing w:lineRule="auto" w:line="240" w:before="0" w:after="0"/>
              <w:rPr>
                <w:rFonts w:eastAsia="Times New Roman" w:cs="Times New Roman"/>
                <w:sz w:val="22"/>
                <w:lang w:eastAsia="ru-RU"/>
              </w:rPr>
            </w:pPr>
            <w:r>
              <w:rPr>
                <w:rFonts w:eastAsia="Times New Roman" w:cs="Times New Roman"/>
                <w:sz w:val="22"/>
                <w:lang w:eastAsia="ru-RU"/>
              </w:rPr>
              <w:t>Проведение мониторинга состояния и развития конкуренции на товарных рынках Краснодарского края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оценка состояния конкуренции субъектами предпринимательской деятельности и определение удовлетворённости потребителей качеством товаров, работ и услуг и состоянием ценовой конкуренции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наличие актуальной информации о состоянии конкуренции на товарных рынках и степени удовлетворённости потребителей качеством товаров, работ и услуг и состоянием ценовой конкуренции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общественные и научные организации (по согласованию)</w:t>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313" w:right="-31" w:hanging="266"/>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обеспечение и сохранение целевого использования государственных (муниципальных) объектов недвижимого имущества в социальной сфере</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eastAsia="Times New Roman" w:cs="Times New Roman"/>
                <w:sz w:val="22"/>
                <w:lang w:eastAsia="ru-RU"/>
              </w:rPr>
            </w:pPr>
            <w:r>
              <w:rPr>
                <w:rFonts w:cs="Times New Roman"/>
                <w:sz w:val="22"/>
                <w:szCs w:val="24"/>
              </w:rPr>
              <w:t>6.1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Включение пунктов о необходимости сохранения целевого использования государственных (муниципальных) объектов недвижимого имущества в концессионные соглашения с негосударственными (немуниципальными) организациями, реализующими в социальной сфере проекты с применением механизмов государственно-частного партнёрства на территории Краснодарского края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инвестиций и развития малого и среднего предпринимательства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29" w:right="-31" w:firstLine="425"/>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7.1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на региональном и муниципальном уровнях</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снижение нагрузки на региональные и местные бюджеты, привлечение дополнительного финансирования на реализацию социально значимых проектов; выявление лучших практик использования механизмов государственно-частного и муниципально-частного партнерства</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заключение концессионных соглашений, соглашений о государственно-частном партнерстве, муниципально-частном партнерстве в социальной сфере (детский отдых и оздоровление, спорт, здравоохранение, социальное обслуживание, дошкольное образование, культура) ‒ не менее 3 соглашений ежегодно</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инвестиций и развития малого и среднего предпринимательства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7.2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Утверждение перечня объектов, право собственности на которые принадлежит или будет принадлежать Краснодарскому краю, в отношении которых планируется заключение концессионных соглашений в текущем году</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снижение нагрузки</w:t>
              <w:br/>
              <w:t>на региональные и местные бюджеты, привлечение дополнительного финансирования на реализацию инфраструктурных проектов</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Times New Roman"/>
                <w:sz w:val="22"/>
              </w:rPr>
            </w:pPr>
            <w:r>
              <w:rPr>
                <w:rFonts w:cs="Times New Roman"/>
                <w:sz w:val="22"/>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 xml:space="preserve">приказ департамента инвестиций и развития малого и среднего предпринимательства Краснодарского края с перечнем объектов в соответствии с пунктом 1 статьи 4 Федерального закона от 21 июля 2005 г. № 115-ФЗ «О концессионных соглашениях»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cs="Times New Roman"/>
                <w:sz w:val="22"/>
              </w:rPr>
              <w:t xml:space="preserve">департамент инвестиций и развития малого и среднего предпринимательства </w:t>
            </w:r>
            <w:r>
              <w:rPr>
                <w:rFonts w:eastAsia="Times New Roman" w:cs="Times New Roman"/>
                <w:sz w:val="22"/>
                <w:lang w:eastAsia="ru-RU"/>
              </w:rPr>
              <w:t xml:space="preserve">Краснодарского края </w:t>
            </w:r>
          </w:p>
          <w:p>
            <w:pPr>
              <w:pStyle w:val="Normal"/>
              <w:spacing w:lineRule="auto" w:line="240" w:before="0" w:after="0"/>
              <w:rPr>
                <w:rFonts w:cs="Times New Roman"/>
                <w:sz w:val="22"/>
              </w:rPr>
            </w:pPr>
            <w:r>
              <w:rPr>
                <w:rFonts w:cs="Times New Roman"/>
                <w:sz w:val="22"/>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департамент инвестиций и развития малого и среднего предпринимательства Краснодарского края;</w:t>
            </w:r>
          </w:p>
          <w:p>
            <w:pPr>
              <w:pStyle w:val="Normal"/>
              <w:spacing w:lineRule="auto" w:line="240" w:before="0" w:after="0"/>
              <w:rPr>
                <w:rFonts w:cs="Times New Roman"/>
                <w:sz w:val="22"/>
              </w:rPr>
            </w:pPr>
            <w:r>
              <w:rPr>
                <w:rFonts w:cs="Times New Roman"/>
                <w:sz w:val="22"/>
              </w:rPr>
              <w:t>отраслевые органы исполнительной власти Краснодарского края</w:t>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29" w:right="-31" w:firstLine="425"/>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мероприятия, направленные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8.1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Предоставление субсидий из краевого бюджета социально ориентированным некоммерческим организациям в рамках подпрограммы «Государственная поддержка социально ориентированных некоммерческих организаций в Краснодарском крае» государственной программы Краснодарского края «Региональная политика и развитие гражданского общества», утвержденной постановлением главы администрации (губернатором) Краснодарского края от 19 октября 2015 г. № 975  </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развитие механизмов взаимодействия органов исполнительной власти Краснодарского края и социально ориентированных некоммерческих организаций для решения социальных проблем в Краснодарском крае,</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поддержка социально ориентированных некоммерческих организаций, реализующих собственные общественно полезные программы, направленные на решение социальных проблем</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рост количества социально ориентированных некоммерческих организаций, получивших гранты (субсидии) для поддержки общественно полезных программ</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внутренней политики администрации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департамент внутренней политики администрации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8.2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Оказание поддержки социально ориентированным некоммерческим организациям, осуществляющим деятельность в сферах здравоохранения, профилактики и охраны здоровья граждан, пропаганды здорового образа жизни</w:t>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rPr>
            </w:pPr>
            <w:r>
              <w:rPr>
                <w:rFonts w:eastAsia="Times New Roman" w:cs="Times New Roman"/>
                <w:sz w:val="22"/>
              </w:rPr>
              <w:t xml:space="preserve">недостаточная информированность населения о мерах профилактики, </w:t>
            </w:r>
            <w:r>
              <w:rPr>
                <w:rFonts w:eastAsia="Times New Roman" w:cs="Times New Roman"/>
                <w:sz w:val="22"/>
                <w:lang w:eastAsia="ru-RU"/>
              </w:rPr>
              <w:t>направленных на сохранение и укрепление здоровья, в том числе на предупреждение возникновения и (или) распространения заболеваний, их раннее выявление, выявление причин и условий их возникновения и развития</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sz w:val="22"/>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rPr>
            </w:pPr>
            <w:r>
              <w:rPr>
                <w:rFonts w:eastAsia="Times New Roman" w:cs="Times New Roman"/>
                <w:sz w:val="22"/>
              </w:rPr>
              <w:t>содействие развитию негосударственных социально ориентированных некоммерческих организаций</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здравоохранения Краснодарского края</w:t>
            </w:r>
          </w:p>
          <w:p>
            <w:pPr>
              <w:pStyle w:val="Normal"/>
              <w:widowControl w:val="false"/>
              <w:spacing w:lineRule="auto" w:line="240" w:before="0" w:after="0"/>
              <w:rPr>
                <w:rFonts w:eastAsia="Times New Roman" w:cs="Times New Roman"/>
                <w:sz w:val="22"/>
              </w:rPr>
            </w:pPr>
            <w:r>
              <w:rPr>
                <w:rFonts w:eastAsia="Times New Roman" w:cs="Times New Roman"/>
                <w:sz w:val="22"/>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здравоохранения Краснодарского края</w:t>
            </w:r>
          </w:p>
          <w:p>
            <w:pPr>
              <w:pStyle w:val="Normal"/>
              <w:widowControl w:val="false"/>
              <w:spacing w:lineRule="auto" w:line="240" w:before="0" w:after="0"/>
              <w:rPr>
                <w:rFonts w:eastAsia="Times New Roman" w:cs="Times New Roman"/>
                <w:b/>
                <w:b/>
                <w:sz w:val="22"/>
              </w:rPr>
            </w:pPr>
            <w:r>
              <w:rPr>
                <w:rFonts w:eastAsia="Times New Roman" w:cs="Times New Roman"/>
                <w:b/>
                <w:sz w:val="22"/>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8.3</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Включение в государственные программы Краснодарского края и реализация мероприятий по поддержке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содействие развитию негосударственных (немуниципальных) социально ориентированных некоммерческих организаций</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2022 – 2025 </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мероприятий, мероприятий, направленных на поддержку негосударственного (немуниципального) сектора в социально значимых сферах, таких как дошкольное, общее образование, детский отдых и оздоровление детей, культура, физическая культура и спорт, в том числе для лиц с ограниченными возможностями, 8 единиц ежегодно</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труда и социального развития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физической культуры и спорта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труда и социального развития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физической культуры и спорта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8.4</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Оказание поддержки субъектам малого и среднего предпринимательства, включенным в реестр социальных предпринимателей, в рамках реализации регионального проекта «Создание условий для легкого старта и комфортного ведения бизнеса»</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содействие развития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2022-2024</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количество уникальных социальных предприятий, включенных в реестр социальных предпринимателей, в том числе получивших комплексные услуги и (или) финансовую поддержку в виде гранта, единиц:</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2022 год – 70;</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2023 год – 10</w:t>
            </w:r>
            <w:bookmarkStart w:id="2" w:name="_GoBack"/>
            <w:bookmarkEnd w:id="2"/>
            <w:r>
              <w:rPr>
                <w:rFonts w:eastAsia="Times New Roman" w:cs="Times New Roman"/>
                <w:sz w:val="22"/>
                <w:lang w:eastAsia="ru-RU"/>
              </w:rPr>
              <w:t>0;</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2024 год – 100</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департамент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инвестиций и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развития малого и среднего предпринимательства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департамент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инвестиций и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развития малого и среднего предпринимательства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Краснодарского края</w:t>
            </w:r>
          </w:p>
        </w:tc>
      </w:tr>
      <w:tr>
        <w:trPr>
          <w:trHeight w:val="1048" w:hRule="atLeast"/>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313"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eastAsia="Times New Roman" w:cs="Times New Roman"/>
                <w:sz w:val="22"/>
                <w:lang w:eastAsia="ru-RU"/>
              </w:rPr>
            </w:pPr>
            <w:r>
              <w:rPr>
                <w:rFonts w:cs="Times New Roman"/>
                <w:sz w:val="22"/>
                <w:szCs w:val="24"/>
              </w:rPr>
              <w:t>9.1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Реализация партнерских проектов в рамках деятельности детского технопарка «Кванториум» </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 xml:space="preserve">вовлечение частного сектора экономики в совместную проектную деятельность по развитию технического творчества детей </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 xml:space="preserve">презентация имеющихся достижений в рамках региональных, окружных и всероссийских мероприятий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государственное бюджетное учреждение дополнительного образования Краснодарского края «Центр детского и юношеского технического творчества» (по согласованию)</w:t>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повышение в Краснодарском крае цифровой грамотности населения, государственных гражданских служащих и работников бюджетной сферы в рамках соответствующей региональной программы</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10.1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В рамках реализации регионального проекта «Цифровая образовательная среда» национального проекта «Образование» планируется </w:t>
            </w:r>
            <w:r>
              <w:rPr>
                <w:rFonts w:eastAsia="Times New Roman" w:cs="Times New Roman"/>
                <w:bCs/>
                <w:sz w:val="22"/>
                <w:lang w:eastAsia="ru-RU"/>
              </w:rPr>
              <w:t>разработка и реализация программы профессиональной переподготовки руководителей образовательных организаций и органов местного самоуправления муниципальных образований Краснодарского края, осуществляющих управление в сфере образования, по внедрению и функционированию в образовательных организациях целевой модели цифровой образовательной среды</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предусмотрено повышение квалификации педагогических работников общего образования в рамках периодической аттестации в цифровой форме с использованием информационного ресурса «одно окно» («Современная цифровая образовательная среда в Российской Федерации»)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bCs/>
                <w:sz w:val="22"/>
                <w:lang w:eastAsia="ru-RU"/>
              </w:rPr>
              <w:t xml:space="preserve">обеспечение повышения </w:t>
            </w:r>
            <w:r>
              <w:rPr>
                <w:rFonts w:eastAsia="Times New Roman" w:cs="Times New Roman"/>
                <w:sz w:val="22"/>
                <w:lang w:eastAsia="ru-RU"/>
              </w:rPr>
              <w:t>цифровой грамотности работников бюджетной сферы образования Краснодарского края</w:t>
            </w:r>
          </w:p>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 xml:space="preserve">министерство образования, науки и молодежной политики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10.2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Обучение государственных гражданских и муниципальных служащих </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rPr>
            </w:pPr>
            <w:r>
              <w:rPr>
                <w:rFonts w:eastAsia="Times New Roman" w:cs="Times New Roman"/>
                <w:sz w:val="22"/>
              </w:rPr>
              <w:t>обучение государственных гражданских и муниципальных служащих компетенциям, необходимым для цифровой трансформации государственного и муниципального управления</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rPr>
            </w:pPr>
            <w:r>
              <w:rPr>
                <w:rFonts w:eastAsia="Times New Roman" w:cs="Times New Roman"/>
                <w:spacing w:val="-2"/>
                <w:sz w:val="22"/>
                <w:lang w:eastAsia="ru-RU"/>
              </w:rPr>
              <w:t>обеспечение подготовки высококвалифицированных кадров для цифровой экономики,</w:t>
            </w:r>
            <w:r>
              <w:rPr>
                <w:rFonts w:eastAsia="Times New Roman" w:cs="Times New Roman"/>
                <w:sz w:val="22"/>
              </w:rPr>
              <w:t xml:space="preserve"> </w:t>
            </w:r>
          </w:p>
          <w:p>
            <w:pPr>
              <w:pStyle w:val="Normal"/>
              <w:spacing w:lineRule="auto" w:line="240" w:before="0" w:after="0"/>
              <w:rPr>
                <w:rFonts w:eastAsia="Times New Roman" w:cs="Times New Roman"/>
                <w:sz w:val="22"/>
              </w:rPr>
            </w:pPr>
            <w:r>
              <w:rPr>
                <w:rFonts w:eastAsia="Times New Roman" w:cs="Times New Roman"/>
                <w:sz w:val="22"/>
              </w:rPr>
              <w:t>изучение государственными гражданскими служащими и работниками подведомственных учреждений лучшего международного опыта развития цифровой экономики и умных технологий</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департамент информатизации и связи Краснодарского края </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313"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социальную поддержку молодых специалистов в различных сферах экономической деятельности</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eastAsia="Times New Roman" w:cs="Times New Roman"/>
                <w:sz w:val="22"/>
                <w:lang w:eastAsia="ru-RU"/>
              </w:rPr>
            </w:pPr>
            <w:r>
              <w:rPr>
                <w:rFonts w:cs="Times New Roman"/>
                <w:sz w:val="22"/>
                <w:szCs w:val="24"/>
              </w:rPr>
              <w:t>11.1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Присуждение премии администрации Краснодарского края наиболее одаренным учащимся общеобразовательных учреждений Краснодарского края, проявивших выдающиеся способности в учебной, научно-исследовательской, художественно – творческой и спортивной деятельности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выявление и поддержка одаренных детей, развитие их талантов и способностей</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100 обучающихся образовательных организаций Краснодарского края получили премию администрации (губернатора) Краснодарского края</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313"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обеспечение равных условий доступа к информации о государственном имуществе Краснодарского края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eastAsia="Times New Roman" w:cs="Times New Roman"/>
                <w:sz w:val="22"/>
                <w:lang w:eastAsia="ru-RU"/>
              </w:rPr>
            </w:pPr>
            <w:r>
              <w:rPr>
                <w:rFonts w:cs="Times New Roman"/>
                <w:sz w:val="22"/>
                <w:szCs w:val="24"/>
              </w:rPr>
              <w:t>12.1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Информирование субъектов малого и среднего предпринимательства (далее – МСП), а также организаций, образующих инфраструктуру поддержки субъектов МСП, о свободном имуществе, находящемся в государственной собственности Краснодарского края и муниципальной собственности муниципальных образований Краснодарского края, включенном в перечни имущества, утвержденные в соответствии с частью 4 статьи 18 </w:t>
              <w:br/>
              <w:t xml:space="preserve">Федерального закона от 24 июля 2007 г. № 209-ФЗ «О развитии малого и среднего предпринимательства в Российской Федерации» (далее – Федеральный закон </w:t>
              <w:br/>
              <w:t>№ 209-ФЗ), путем размещения соответствующей информации на официальном сайте (интернет-портале) МСП Краснодарского края (www.mbkuban.ru), а также на инвестиционных порталах муниципальных районов и городских округов Краснодарского края</w:t>
            </w:r>
            <w:r>
              <w:rPr>
                <w:rFonts w:eastAsia="Times New Roman" w:cs="Times New Roman"/>
                <w:sz w:val="22"/>
                <w:vertAlign w:val="superscript"/>
                <w:lang w:eastAsia="ru-RU"/>
              </w:rPr>
              <w:t>1</w:t>
            </w:r>
            <w:r>
              <w:rPr>
                <w:rFonts w:eastAsia="Times New Roman" w:cs="Times New Roman"/>
                <w:sz w:val="22"/>
                <w:lang w:eastAsia="ru-RU"/>
              </w:rPr>
              <w:t>)</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обеспечение равных условий доступа субъектов МСП и организаций, образующих инфраструктуру поддержки субъектов МСП, к информации о свободном имуществе, находящемся в государственной собственности Краснодарского края и муниципальной собственности муниципальных образований Краснодарского края, включенном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в перечни имущества, утвержденные в соответствии с частью 4 статьи 18 Федерального закона № 209-ФЗ, в рамках оказания органами исполнительной власти Краснодарского края, государственными унитарными предприятиями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и учреждениями Краснодарского края, органами местного самоуправления муниципальных образований Краснодарского края, муниципальными унитарными предприятиями и учреждениями имущественной поддержки субъектам МСП,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а также организациям, образующим инфраструктуру поддержки субъектов МСП,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в соответствии с положениями статьи 18 </w:t>
              <w:br/>
              <w:t>Федерального закона</w:t>
              <w:br/>
              <w:t xml:space="preserve">№ 209-ФЗ </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уровень востребованности объектов государственной и муниципальной собственности, включенных в перечни государственного и муниципального имущества, предусмотренные частью 4 статьи 18 Федерального закона № 209-ФЗ – не менее 60 %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313"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13.1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мониторинга потребности отраслевых организаций Краснодарского края в квалифицированных кадрах и формирование прогноза дополнительной потребности в кадрах, в том числе для реализации инвестиционных проектов</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выявление потребности организаций в Краснодарском крае, в том числе участников инвестиционных проектов, в специалистах и рабочих кадрах с целью определения объемов и профилей подготовки и переподготовки кадров на всех уровнях профессионального образования </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повышение профессиональной мобильности трудовых ресурсов, способствующей повышению эффективности труда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труда и социального развития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13.2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Наполнение регионального сегмента в информационно-аналитической системе Единая цифровая платформа в сфере занятости и трудовых отношений «Работа в России» с целью повышения мобильности трудовых ресурсов</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возможности трудоустройства граждан за пределами постоянного места проживания</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повышение территориальной мобильности трудовых ресурсов, способствующая повышению эффективности труда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труда и социального развития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труда и социального развития Краснодарского края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13.3</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eastAsia="Times New Roman" w:cs="Times New Roman"/>
                <w:sz w:val="22"/>
                <w:lang w:eastAsia="ru-RU"/>
              </w:rPr>
              <w:t>Реализация мероприятий регионального проекта «Системные меры по повышению производительности труда» с целью создания новых форматов поддержки предприятий-участников для сохранения непрерывной заинтересованности в улучшениях и росте производительности труда, включая поддержку выхода на новые рынки (внутренние и внешние), участие в пилотных проектах по цифровой</w:t>
            </w:r>
            <w:r>
              <w:rPr>
                <w:rFonts w:cs="Times New Roman"/>
                <w:sz w:val="22"/>
              </w:rPr>
              <w:t xml:space="preserve"> трансформации</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rPr>
            </w:pPr>
            <w:r>
              <w:rPr>
                <w:rFonts w:eastAsia="Times New Roman" w:cs="Times New Roman"/>
                <w:sz w:val="22"/>
                <w:lang w:eastAsia="ru-RU"/>
              </w:rPr>
              <w:t>мониторинг предложений по совершенствованию нормативного правового регулирования в целях повышения производительности труда, стимулирование предприятий к повышению производительности, формирование системы подготовки высококвалифицированных кадров</w:t>
            </w:r>
          </w:p>
        </w:tc>
        <w:tc>
          <w:tcPr>
            <w:tcW w:w="141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обучение руководителей по программе управленческих навыков для повышения производительности труда, корректировка мер государственной поддержки, условия предоставления которых могут быть доработаны с учетом критериев по повышению производительности труда, осведомленность предприятий о методах повышения производительности труда</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r>
              <w:rPr/>
              <w:t xml:space="preserve"> </w:t>
            </w:r>
            <w:r>
              <w:rPr>
                <w:rFonts w:eastAsia="Times New Roman" w:cs="Times New Roman"/>
                <w:sz w:val="22"/>
                <w:lang w:eastAsia="ru-RU"/>
              </w:rPr>
              <w:t>автономная некоммерческая организация «Центр компетенций в сфере производительности труда Краснодарского края»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унитарная некоммерческая организация «Фонд развития промышленности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13.4</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sz w:val="22"/>
                <w:lang w:eastAsia="ru-RU"/>
              </w:rPr>
            </w:pPr>
            <w:r>
              <w:rPr>
                <w:rFonts w:cs="Times New Roman"/>
                <w:sz w:val="22"/>
                <w:szCs w:val="24"/>
              </w:rPr>
              <w:t>Реализация мероприятий регионального проекта «Адресная поддержка повышения производительности труда на предприятиях» с целью совершенствования бизнес-моделей предприятий и внедрение изменений, касающихся, в том числе управления, производства, логистики, сбыта</w:t>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41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рост производительности труда на средних и крупных предприятиях базовых несырьевых отраслей экономики, увеличение количества предприятий, вовлеченных в реализацию мероприятий национального проекта «Производительность труда», единиц:</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2022 год – 140;</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2023 год – 194;</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2024 год – 248</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 автономная некоммерческая организация «Центр компетенций в сфере производительности труда Краснодарского края» (по согласованию)</w:t>
            </w:r>
          </w:p>
        </w:tc>
      </w:tr>
      <w:tr>
        <w:trPr/>
        <w:tc>
          <w:tcPr>
            <w:tcW w:w="70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13.4.1</w:t>
            </w:r>
          </w:p>
        </w:tc>
        <w:tc>
          <w:tcPr>
            <w:tcW w:w="340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szCs w:val="24"/>
              </w:rPr>
            </w:pPr>
            <w:r>
              <w:rPr>
                <w:rFonts w:cs="Times New Roman"/>
                <w:sz w:val="22"/>
                <w:szCs w:val="24"/>
              </w:rPr>
              <w:t>Реализация мероприятий по вовлечению потенциальных предприятий Краснодарского края в национальный проект «Производительность труда»</w:t>
            </w:r>
          </w:p>
        </w:tc>
        <w:tc>
          <w:tcPr>
            <w:tcW w:w="255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pacing w:val="-2"/>
                <w:sz w:val="22"/>
                <w:lang w:eastAsia="ru-RU"/>
              </w:rPr>
            </w:pPr>
            <w:r>
              <w:rPr>
                <w:rFonts w:eastAsia="Times New Roman" w:cs="Times New Roman"/>
                <w:spacing w:val="-2"/>
                <w:sz w:val="22"/>
                <w:lang w:eastAsia="ru-RU"/>
              </w:rPr>
              <w:t xml:space="preserve">повышение эффективности производства через внедрение процессов бережливого производства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41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выполнение разработанного плана-графика по</w:t>
            </w:r>
            <w:r>
              <w:rPr>
                <w:rFonts w:cs="Times New Roman"/>
                <w:sz w:val="22"/>
                <w:szCs w:val="24"/>
              </w:rPr>
              <w:t xml:space="preserve"> вовлечению потенциальных предприятий</w:t>
            </w:r>
            <w:r>
              <w:rPr>
                <w:rFonts w:eastAsia="Times New Roman" w:cs="Times New Roman"/>
                <w:sz w:val="22"/>
                <w:lang w:eastAsia="ru-RU"/>
              </w:rPr>
              <w:t xml:space="preserve"> </w:t>
            </w:r>
            <w:r>
              <w:rPr>
                <w:rFonts w:cs="Times New Roman"/>
                <w:sz w:val="22"/>
                <w:szCs w:val="24"/>
              </w:rPr>
              <w:t xml:space="preserve">в национальный проект «Производительность труда» </w:t>
            </w:r>
            <w:r>
              <w:rPr>
                <w:rFonts w:eastAsia="Times New Roman" w:cs="Times New Roman"/>
                <w:sz w:val="22"/>
                <w:lang w:eastAsia="ru-RU"/>
              </w:rPr>
              <w:t xml:space="preserve">в разрезе муниципальных образований (Приложение к «дорожной карте») </w:t>
            </w:r>
          </w:p>
        </w:tc>
        <w:tc>
          <w:tcPr>
            <w:tcW w:w="184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экономики Краснодарского края, органы местного самоуправления муниципальных образований Краснодарского края (по согласованию)</w:t>
            </w:r>
          </w:p>
        </w:tc>
      </w:tr>
      <w:tr>
        <w:trPr/>
        <w:tc>
          <w:tcPr>
            <w:tcW w:w="70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r>
          </w:p>
        </w:tc>
        <w:tc>
          <w:tcPr>
            <w:tcW w:w="340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szCs w:val="24"/>
              </w:rPr>
            </w:pPr>
            <w:r>
              <w:rPr>
                <w:rFonts w:cs="Times New Roman"/>
                <w:sz w:val="22"/>
                <w:szCs w:val="24"/>
              </w:rPr>
            </w:r>
          </w:p>
        </w:tc>
        <w:tc>
          <w:tcPr>
            <w:tcW w:w="255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r>
          </w:p>
        </w:tc>
        <w:tc>
          <w:tcPr>
            <w:tcW w:w="141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увеличение количества агропромышленных предприятий – участников национального проекта «Производительность труда», единиц:</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2022 год – 69;</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2023 год – 81;</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2024 год – 93</w:t>
            </w:r>
          </w:p>
        </w:tc>
        <w:tc>
          <w:tcPr>
            <w:tcW w:w="184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министерство сельского хозяйства и перерабатывающей промышленности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Мероприятия, направленные на содействие развитию и поддержку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14.1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Поддержка проектов, обладающих перспективами коммерциализации и промышленного масштабирования результатов, разработанных по итогам проведения междисциплинарных исследований</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Times New Roman"/>
                <w:sz w:val="22"/>
                <w:lang w:eastAsia="ru-RU"/>
              </w:rPr>
            </w:pPr>
            <w:r>
              <w:rPr>
                <w:rFonts w:eastAsia="Times New Roman" w:cs="Times New Roman"/>
                <w:sz w:val="22"/>
                <w:lang w:eastAsia="ru-RU"/>
              </w:rPr>
              <w:t>низкий уровень внедрения результатов научных исследований в реальном секторе экономики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условий для коммерциализации и промышленного масштабирования результатов, полученных по итогам проведения междисциплинарных исследований</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образовательные организации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14.2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поддержки научно-технических и инновационных проектов, в том числе междисциплинарных</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rPr>
            </w:pPr>
            <w:r>
              <w:rPr>
                <w:rFonts w:eastAsia="Times New Roman" w:cs="Times New Roman"/>
                <w:sz w:val="22"/>
              </w:rPr>
              <w:t xml:space="preserve">развитие </w:t>
            </w:r>
            <w:r>
              <w:rPr>
                <w:rFonts w:eastAsia="Times New Roman" w:cs="Times New Roman"/>
                <w:sz w:val="22"/>
                <w:lang w:eastAsia="ru-RU"/>
              </w:rPr>
              <w:t>научно-технических и инновационных проектов, в том числе междисциплинарных</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rPr>
            </w:pPr>
            <w:r>
              <w:rPr>
                <w:rFonts w:eastAsia="Times New Roman" w:cs="Times New Roman"/>
                <w:sz w:val="22"/>
              </w:rPr>
              <w:t xml:space="preserve">развитие </w:t>
            </w:r>
            <w:r>
              <w:rPr>
                <w:rFonts w:eastAsia="Times New Roman" w:cs="Times New Roman"/>
                <w:sz w:val="22"/>
                <w:lang w:eastAsia="ru-RU"/>
              </w:rPr>
              <w:t>научно-технических и инновационных проектов, в том числе междисциплинарных</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образовательные организации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14.3</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Реализация мероприятий, направленных на внедрение инновационных технологий в агропромышленном комплексе, обеспечивающих потребности населения и гостей Краснодарского края, предприятий перерабатывающей промышленности в основных видах сельскохозяйственной продукции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rPr>
            </w:pPr>
            <w:r>
              <w:rPr>
                <w:rFonts w:eastAsia="Times New Roman" w:cs="Times New Roman"/>
                <w:sz w:val="22"/>
                <w:lang w:eastAsia="ru-RU"/>
              </w:rPr>
              <w:t>оказание содействия внедрению результатов научных исследований в реальном секторе экономики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rPr>
            </w:pPr>
            <w:r>
              <w:rPr>
                <w:rFonts w:eastAsia="Times New Roman" w:cs="Times New Roman"/>
                <w:sz w:val="22"/>
              </w:rPr>
              <w:t>внедрение инновационных технологий в агропромышленном комплексе: не менее 13 научных разработок ежегодно</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«Ворлдскиллс Интернешнл» (WorldSkills International), а также на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Абилимпикс (International Abilympic Federation)</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15.1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Развитие механизмов практико-ориентированного образования и механизмов кадрового обеспечения высокотехнологичных отраслей промышленности по сквозным рабочим профессиям</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кадровое обеспечение высокотехнологичных отраслей промышленности по сквозным рабочим профессиям</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высокотехнологичных отраслей промышленности кадрами по сквозным рабочим профессиям с учетом опыта (стандартов) и разработок международной организации «Ворлдскиллс Интернешнл» (</w:t>
            </w:r>
            <w:r>
              <w:rPr>
                <w:rFonts w:eastAsia="Times New Roman" w:cs="Times New Roman"/>
                <w:sz w:val="22"/>
                <w:lang w:val="en-US" w:eastAsia="ru-RU"/>
              </w:rPr>
              <w:t>WorldSkills</w:t>
            </w:r>
            <w:r>
              <w:rPr>
                <w:rFonts w:eastAsia="Times New Roman" w:cs="Times New Roman"/>
                <w:sz w:val="22"/>
                <w:lang w:eastAsia="ru-RU"/>
              </w:rPr>
              <w:t xml:space="preserve"> </w:t>
            </w:r>
            <w:r>
              <w:rPr>
                <w:rFonts w:eastAsia="Times New Roman" w:cs="Times New Roman"/>
                <w:sz w:val="22"/>
                <w:lang w:val="en-US" w:eastAsia="ru-RU"/>
              </w:rPr>
              <w:t>International</w:t>
            </w:r>
            <w:r>
              <w:rPr>
                <w:rFonts w:eastAsia="Times New Roman" w:cs="Times New Roman"/>
                <w:sz w:val="22"/>
                <w:lang w:eastAsia="ru-RU"/>
              </w:rPr>
              <w:t>) в соответствии с потребностью отраслей экономики Краснодарского края</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образования, науки и молодежной политики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образования, науки и молодежной политики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tc>
      </w:tr>
      <w:tr>
        <w:trPr>
          <w:trHeight w:val="846" w:hRule="atLeast"/>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313"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содействие созданию и развитию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16.1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Предоставлении субсидии унитарной некоммерческой организации «Фонд развития инноваций Краснодарского края» на обеспечение её деятельности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p>
            <w:pPr>
              <w:pStyle w:val="Normal"/>
              <w:spacing w:lineRule="auto" w:line="240" w:before="0" w:after="0"/>
              <w:rPr>
                <w:rFonts w:eastAsia="Times New Roman" w:cs="Times New Roman"/>
                <w:strike/>
                <w:sz w:val="22"/>
                <w:lang w:eastAsia="ru-RU"/>
              </w:rPr>
            </w:pPr>
            <w:r>
              <w:rPr>
                <w:rFonts w:eastAsia="Times New Roman" w:cs="Times New Roman"/>
                <w:strike/>
                <w:sz w:val="22"/>
                <w:lang w:eastAsia="ru-RU"/>
              </w:rPr>
            </w:r>
          </w:p>
          <w:p>
            <w:pPr>
              <w:pStyle w:val="Normal"/>
              <w:spacing w:lineRule="auto" w:line="240" w:before="0" w:after="0"/>
              <w:rPr>
                <w:rFonts w:eastAsia="Times New Roman" w:cs="Times New Roman"/>
                <w:strike/>
                <w:sz w:val="22"/>
                <w:lang w:eastAsia="ru-RU"/>
              </w:rPr>
            </w:pPr>
            <w:r>
              <w:rPr>
                <w:rFonts w:eastAsia="Times New Roman" w:cs="Times New Roman"/>
                <w:strike/>
                <w:sz w:val="22"/>
                <w:lang w:eastAsia="ru-RU"/>
              </w:rPr>
            </w:r>
          </w:p>
          <w:p>
            <w:pPr>
              <w:pStyle w:val="Normal"/>
              <w:spacing w:lineRule="auto" w:line="240" w:before="0" w:after="0"/>
              <w:rPr>
                <w:rFonts w:eastAsia="Times New Roman" w:cs="Times New Roman"/>
                <w:strike/>
                <w:sz w:val="22"/>
                <w:lang w:eastAsia="ru-RU"/>
              </w:rPr>
            </w:pPr>
            <w:r>
              <w:rPr>
                <w:rFonts w:eastAsia="Times New Roman" w:cs="Times New Roman"/>
                <w:strike/>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оказание поддержки субъектам инновационной деятельности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унитарной некоммерческой организацией «Фонд развития инноваций Краснодарского края» ежегодно оказана поддержка:</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130 субъектам МСП, являющимся субъектами инновационной деятельности, а также физическим лицам - субъектам инновационной деятельности,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не являющимся индивидуальными предпринимателями и применяющим специальный налоговый режим «Налог на профессиональный доход»;</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50 физическим лицам, являющимся субъектами инновационной деятельности, заинтересованным в начале осуществления предпринимательской деятельности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 </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унитарная некоммерческая организация «Фонд развития инноваций Краснодарского края» (по согласованию)</w:t>
            </w:r>
          </w:p>
        </w:tc>
      </w:tr>
      <w:tr>
        <w:trPr>
          <w:trHeight w:val="1094" w:hRule="atLeast"/>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313" w:right="-31" w:hanging="360"/>
              <w:contextualSpacing/>
              <w:jc w:val="center"/>
              <w:rPr>
                <w:rFonts w:eastAsia="Times New Roman" w:cs="Times New Roman"/>
                <w:sz w:val="22"/>
                <w:lang w:eastAsia="ru-RU"/>
              </w:rPr>
            </w:pPr>
            <w:r>
              <w:rPr>
                <w:rFonts w:eastAsia="Times New Roman" w:cs="Times New Roman"/>
                <w:sz w:val="22"/>
                <w:lang w:eastAsia="ru-RU"/>
              </w:rPr>
              <w:t xml:space="preserve">Мероприятия, направленные на повышение уровня финансовой грамотности населения (потребителей) и субъектов малого и среднего </w:t>
              <w:br/>
              <w:t xml:space="preserve">предпринимательства, в том числе путем увеличения доли населения Краснодарского края, прошедшего обучение по повышению финансовой грамотности в рамках Стратегии повышения финансовой грамотности в Российской Федерации на 2017 – 2023 годы, утвержденной </w:t>
              <w:br/>
              <w:t>распоряжением Правительства Российской Федерации от 25 сентября 2017 г. № 2039-р</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eastAsia="Times New Roman" w:cs="Times New Roman"/>
                <w:sz w:val="22"/>
                <w:lang w:eastAsia="ru-RU"/>
              </w:rPr>
            </w:pPr>
            <w:r>
              <w:rPr>
                <w:rFonts w:cs="Times New Roman"/>
                <w:sz w:val="22"/>
                <w:szCs w:val="24"/>
              </w:rPr>
              <w:t>17.1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Реализация мероприятий подпрограммы «Финансовое просвещение населения Краснодарского края» государственной программы Краснодарского края «Социально-экономическое и инновационное развитие Краснодарского края», утверждённой постановлением главы администрации (губернатора) Краснодарского края от 5 октября 2015 г.</w:t>
              <w:br/>
              <w:t>№ 943</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повышение уровня финансовой грамотности населения</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jc w:val="center"/>
              <w:rPr>
                <w:rFonts w:eastAsia="Times New Roman" w:cs="Times New Roman"/>
                <w:sz w:val="22"/>
                <w:lang w:eastAsia="ru-RU"/>
              </w:rPr>
            </w:pPr>
            <w:r>
              <w:rPr>
                <w:rFonts w:eastAsia="Times New Roman" w:cs="Times New Roman"/>
                <w:sz w:val="22"/>
                <w:lang w:eastAsia="ru-RU"/>
              </w:rPr>
              <w:t>2022 – 2023</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доля населения Краснодарского края, принявшего участие в мероприятиях по повышению уровня финансовой грамотности населения Краснодарского края, от общей численности населения Краснодарского края к 2023 году – 31,5 %</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w:t>
            </w:r>
          </w:p>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863" w:hRule="atLeast"/>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29" w:right="-31" w:firstLine="284"/>
              <w:contextualSpacing/>
              <w:jc w:val="center"/>
              <w:rPr>
                <w:rFonts w:eastAsia="Times New Roman" w:cs="Times New Roman"/>
                <w:sz w:val="22"/>
                <w:lang w:eastAsia="ru-RU"/>
              </w:rPr>
            </w:pPr>
            <w:r>
              <w:rPr>
                <w:rFonts w:eastAsia="Times New Roman" w:cs="Times New Roman"/>
                <w:sz w:val="22"/>
                <w:lang w:eastAsia="ru-RU"/>
              </w:rPr>
              <w:t xml:space="preserve">Мероприятия, направленные на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w:t>
              <w:br/>
              <w:t>Краснодарского края</w:t>
            </w:r>
          </w:p>
        </w:tc>
      </w:tr>
      <w:tr>
        <w:trPr>
          <w:trHeight w:val="2406"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18.1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Организация проведения опросов по вопросам состояния доступности и удовлетворенности населения работой финансовых организаций, расположенных на территории Краснодарского края и предоставляемыми ими услугами</w:t>
            </w:r>
          </w:p>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удовлетворённость населения работой финансовых организаций (полностью или частично удовлетворённого работой хотя бы одного типа финансовых организаций)</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повышение доли опрошенного экономически активного населения Краснодарского края, положительно оценивающего удовлетворённость работы финансовых организаций</w:t>
            </w:r>
          </w:p>
        </w:tc>
        <w:tc>
          <w:tcPr>
            <w:tcW w:w="1842"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 xml:space="preserve">Южное ГУ </w:t>
            </w:r>
          </w:p>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Банка России</w:t>
            </w:r>
          </w:p>
        </w:tc>
        <w:tc>
          <w:tcPr>
            <w:tcW w:w="2272"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Южное ГУ Банка России (по согласованию),</w:t>
            </w:r>
          </w:p>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w:t>
            </w:r>
          </w:p>
          <w:p>
            <w:pPr>
              <w:pStyle w:val="Normal"/>
              <w:tabs>
                <w:tab w:val="clear" w:pos="708"/>
                <w:tab w:val="left" w:pos="6383" w:leader="none"/>
              </w:tabs>
              <w:spacing w:lineRule="auto" w:line="240" w:before="0" w:after="0"/>
              <w:rPr>
                <w:rFonts w:eastAsia="Times New Roman" w:cs="Times New Roman"/>
                <w:strike/>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3803"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eastAsia="Times New Roman" w:cs="Times New Roman"/>
                <w:sz w:val="22"/>
                <w:lang w:eastAsia="ru-RU"/>
              </w:rPr>
            </w:pPr>
            <w:r>
              <w:rPr>
                <w:rFonts w:cs="Times New Roman"/>
                <w:sz w:val="22"/>
                <w:szCs w:val="24"/>
              </w:rPr>
              <w:t>18.2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Организация проведения социологического исследования уровня финансовой грамотности и доступности финансовых услуг в Краснодарском крае</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rPr>
                <w:rFonts w:eastAsia="Times New Roman" w:cs="Times New Roman"/>
                <w:sz w:val="22"/>
                <w:lang w:eastAsia="ru-RU"/>
              </w:rPr>
            </w:pPr>
            <w:r>
              <w:rPr>
                <w:rFonts w:eastAsia="Times New Roman" w:cs="Times New Roman"/>
                <w:sz w:val="22"/>
                <w:lang w:eastAsia="ru-RU"/>
              </w:rPr>
              <w:t>оценка уровня финансовой грамотности населения Краснодарского края и доступности финансовых услуг, а также эффективности реализуемых мер государственной политики в сфере финансового просвещения</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6383" w:leader="none"/>
              </w:tabs>
              <w:spacing w:lineRule="auto" w:line="240" w:before="0" w:after="0"/>
              <w:jc w:val="center"/>
              <w:rPr>
                <w:rFonts w:eastAsia="Times New Roman" w:cs="Times New Roman"/>
                <w:sz w:val="22"/>
                <w:lang w:eastAsia="ru-RU"/>
              </w:rPr>
            </w:pPr>
            <w:r>
              <w:rPr>
                <w:rFonts w:eastAsia="Times New Roman" w:cs="Times New Roman"/>
                <w:sz w:val="22"/>
                <w:lang w:eastAsia="ru-RU"/>
              </w:rPr>
              <w:t>2022 – 2023</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bCs/>
                <w:sz w:val="22"/>
              </w:rPr>
            </w:pPr>
            <w:r>
              <w:rPr>
                <w:rFonts w:cs="Times New Roman"/>
                <w:bCs/>
                <w:sz w:val="22"/>
              </w:rPr>
              <w:t>количество респондентов в разрезе муниципальных образований Краснодарского края, принявших участие в</w:t>
            </w:r>
            <w:r>
              <w:rPr>
                <w:sz w:val="22"/>
              </w:rPr>
              <w:t xml:space="preserve"> </w:t>
            </w:r>
            <w:r>
              <w:rPr>
                <w:rFonts w:cs="Times New Roman"/>
                <w:bCs/>
                <w:sz w:val="22"/>
              </w:rPr>
              <w:t>социологических исследованиях уровня финансовой грамотности и доступности финансовых услуг в Краснодарском крае не менее 8,0 тыс. человек ежегодно до 2023 года</w:t>
            </w:r>
          </w:p>
        </w:tc>
        <w:tc>
          <w:tcPr>
            <w:tcW w:w="184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bCs/>
                <w:sz w:val="22"/>
              </w:rPr>
            </w:pPr>
            <w:r>
              <w:rPr>
                <w:rFonts w:cs="Times New Roman"/>
                <w:bCs/>
                <w:sz w:val="22"/>
              </w:rPr>
            </w:r>
          </w:p>
        </w:tc>
        <w:tc>
          <w:tcPr>
            <w:tcW w:w="227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bCs/>
                <w:sz w:val="22"/>
              </w:rPr>
            </w:pPr>
            <w:r>
              <w:rPr>
                <w:rFonts w:cs="Times New Roman"/>
                <w:bCs/>
                <w:sz w:val="22"/>
              </w:rPr>
            </w:r>
          </w:p>
        </w:tc>
      </w:tr>
      <w:tr>
        <w:trPr>
          <w:trHeight w:val="623" w:hRule="atLeast"/>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313"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реализацию мер, направленных на выравнивание условий конкуренции как в рамках товарных рынков внутри Краснодарского края (включая темпы роста цен), так и между субъектами Российской Федерации (включая темпы роста и уровни цен)</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19.1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Содействие развитию новых финансовых технологий, позволяющих предоставлять (получать) финансовые услуги дистанционно: присоединение региональных банков к Системе быстрых платежей</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уровня конкурентоспособности финансовых услуг</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val="en-US"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уровня конкурентоспособности финансовых услуг</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Южное главное управление Банка России</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Южное ГУ Банка России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19.2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Calibri" w:cs="Times New Roman"/>
                <w:bCs/>
                <w:sz w:val="22"/>
                <w:lang w:eastAsia="ru-RU"/>
              </w:rPr>
            </w:pPr>
            <w:r>
              <w:rPr>
                <w:rFonts w:eastAsia="Calibri" w:cs="Times New Roman"/>
                <w:bCs/>
                <w:sz w:val="22"/>
                <w:lang w:eastAsia="ru-RU"/>
              </w:rPr>
              <w:t>Участие представителей Банка России в коллегиальном органе по развитию конкуренции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rPr>
            </w:pPr>
            <w:r>
              <w:rPr>
                <w:rFonts w:eastAsia="Times New Roman" w:cs="Times New Roman"/>
                <w:sz w:val="22"/>
              </w:rPr>
              <w:t>реализация мер по улучшению конкурентной среды</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val="en-US" w:eastAsia="ru-RU"/>
              </w:rPr>
            </w:pPr>
            <w:r>
              <w:rPr>
                <w:rFonts w:eastAsia="Times New Roman" w:cs="Times New Roman"/>
                <w:sz w:val="22"/>
                <w:lang w:eastAsia="ru-RU"/>
              </w:rPr>
              <w:t>201</w:t>
            </w:r>
            <w:r>
              <w:rPr>
                <w:rFonts w:eastAsia="Times New Roman" w:cs="Times New Roman"/>
                <w:sz w:val="22"/>
                <w:lang w:val="en-US" w:eastAsia="ru-RU"/>
              </w:rPr>
              <w:t>2</w:t>
            </w:r>
            <w:r>
              <w:rPr>
                <w:rFonts w:eastAsia="Times New Roman" w:cs="Times New Roman"/>
                <w:sz w:val="22"/>
                <w:lang w:eastAsia="ru-RU"/>
              </w:rPr>
              <w:t xml:space="preserve"> – 202</w:t>
            </w:r>
            <w:r>
              <w:rPr>
                <w:rFonts w:eastAsia="Times New Roman" w:cs="Times New Roman"/>
                <w:sz w:val="22"/>
                <w:lang w:val="en-US" w:eastAsia="ru-RU"/>
              </w:rPr>
              <w:t>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реализация мер по улучшению конкурентной среды</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Южное ГУ Банка России (по согласованию)</w:t>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 xml:space="preserve">Мероприятия, направленные на обучение государственных гражданских служащих органов исполнительной власти Краснодарского края и работников их подведомственных предприятий и учреждений основам государственной политики в области развития конкуренции </w:t>
              <w:br/>
              <w:t>и антимонопольного законодательства Российской Федерации</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20.1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Проведение обучающих мероприятий и тренингов по вопросам содействия развитию конкуренции, а также повышения качества процессов, связанных с предоставлением услуг, влияющих на конкуренцию  </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color w:val="000000"/>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20.2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Проведение мониторинга и анализа практики применения антимонопольного законодательства</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Краснодарское Управление федеральной антимонопольной службы по Краснодарскому краю (по согласованию),</w:t>
            </w:r>
          </w:p>
          <w:p>
            <w:pPr>
              <w:pStyle w:val="Normal"/>
              <w:spacing w:lineRule="auto" w:line="240" w:before="0" w:after="0"/>
              <w:ind w:right="-31" w:hanging="0"/>
              <w:rPr>
                <w:rFonts w:eastAsia="Times New Roman" w:cs="Times New Roman"/>
                <w:sz w:val="22"/>
                <w:lang w:eastAsia="ru-RU"/>
              </w:rPr>
            </w:pPr>
            <w:r>
              <w:rPr>
                <w:rFonts w:eastAsia="Times New Roman" w:cs="Times New Roman"/>
                <w:color w:val="000000"/>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20.3</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Calibri" w:cs="Times New Roman"/>
                <w:sz w:val="22"/>
                <w:lang w:eastAsia="ru-RU"/>
              </w:rPr>
              <w:t>Повышение квалификации государственных гражданских служащих и работников подведомственных учреждений по основам государственной политики по развитию конкуренции и антимонопольного законодательства</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управление кадровой политики администрации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управление кадровой политики администрации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20.4</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Внедрение лучших региональных практик содействия развитию конкуренции и практик содействия развитию конкуренции, рекомендованных для внедрения на территории субъектов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повышение уровня деятельности по содействию развитию конкуренции на товарных рынках Краснодарского края </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уровня деятельности по содействию развитию конкуренции на товарных рынках Краснодарского края</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w:t>
            </w:r>
          </w:p>
          <w:p>
            <w:pPr>
              <w:pStyle w:val="Normal"/>
              <w:spacing w:lineRule="auto" w:line="240" w:before="0" w:after="0"/>
              <w:ind w:right="-31" w:hanging="0"/>
              <w:rPr>
                <w:rFonts w:eastAsia="Times New Roman" w:cs="Times New Roman"/>
                <w:sz w:val="22"/>
                <w:lang w:eastAsia="ru-RU"/>
              </w:rPr>
            </w:pPr>
            <w:r>
              <w:rPr>
                <w:rFonts w:eastAsia="Times New Roman" w:cs="Times New Roman"/>
                <w:color w:val="000000"/>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20.5</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Проведение обучающих семинаров по вопросам реализации законодательства о контрактной системе в сфере закупок, развития конкуренции и внедрения внутреннего контроля соблюдения антимонопольного законодательства (выездные зональные совещания и (или) обучение с применением дистанционных технологий)</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Times New Roman"/>
                <w:sz w:val="22"/>
              </w:rPr>
            </w:pPr>
            <w:r>
              <w:rPr>
                <w:rFonts w:cs="Times New Roman"/>
                <w:sz w:val="22"/>
              </w:rPr>
              <w:t>2022</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департамент по регулированию контрактной системы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департамент по регулированию контрактной системы Краснодарского края, министерство экономики Краснодарского края, Краснодарское Управление федеральной антимонопольной службы по Краснодарскому краю (по согласованию), органы местного самоуправления муниципальных образований Краснодарского края (по согласованию)</w:t>
            </w:r>
          </w:p>
        </w:tc>
      </w:tr>
      <w:tr>
        <w:trPr>
          <w:trHeight w:val="583" w:hRule="atLeast"/>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720" w:right="-31" w:hanging="360"/>
              <w:contextualSpacing/>
              <w:jc w:val="center"/>
              <w:rPr>
                <w:rFonts w:eastAsia="Times New Roman" w:cs="Times New Roman"/>
                <w:sz w:val="22"/>
                <w:lang w:eastAsia="ru-RU"/>
              </w:rPr>
            </w:pPr>
            <w:r>
              <w:rPr>
                <w:rFonts w:eastAsia="Times New Roman" w:cs="Times New Roman"/>
                <w:sz w:val="22"/>
                <w:lang w:eastAsia="ru-RU"/>
              </w:rPr>
              <w:t>Мероприятия, направленные на организацию в государственной жилищной инспекции Краснодарского края горячей телефонной линии, а также электронной формы обратной связи в сети «Интернет» (с возможностью прикрепления файлов фото- и видеосъемки)</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21.1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наличия работы «горячей линии» органа государственного жилищного надзора, а также электронной формы обратной связи в информационно-телекоммуникационной сети «Интернет» (с возможностью прикрепления файлов фото- и видеосъемки)</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снижение количества обращений граждан в вышестоящие инстанции и повышение уровня правовой грамотности населения Краснодарского края.</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эффективности контроля за соблюдением жилищного законодательства на территории Краснодарского края, развитие конкуренции на рынке услуг жилищно-коммунального хозяйства; установление обратной связи с населением Краснодарского края</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работы «горячей линии», а также электронной формы обратной связи в информационно- телекоммуникационной сети «Интернет» (с возможностью прикрепления файлов фото- и видеосъемки)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государственная жилищная инспекция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rFonts w:eastAsia="Times New Roman" w:cs="Times New Roman"/>
                <w:sz w:val="22"/>
                <w:lang w:eastAsia="ru-RU"/>
              </w:rPr>
              <w:t>государственная жилищная инспекция Краснодарского края</w:t>
            </w:r>
          </w:p>
        </w:tc>
      </w:tr>
      <w:tr>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ind w:left="313" w:right="-31" w:hanging="360"/>
              <w:contextualSpacing/>
              <w:jc w:val="center"/>
              <w:rPr>
                <w:rFonts w:eastAsia="Times New Roman" w:cs="Times New Roman"/>
                <w:sz w:val="22"/>
                <w:lang w:eastAsia="ru-RU"/>
              </w:rPr>
            </w:pPr>
            <w:r>
              <w:rPr>
                <w:sz w:val="22"/>
              </w:rPr>
              <w:t>Мероприятия, направленные на развитие механизмов общественного контроля за деятельностью субъектов естественных монополий за счет вовлечения потребителей товаров, работ, услуг в данные механизмы и учета их мнения (с целью повышения прозрачности деятельности субъектов естественных монополий)</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22.1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sz w:val="22"/>
              </w:rPr>
              <w:t>Организация проведения заседаний Межотраслевого совета потребителей по вопросам деятельности субъектов естественных монополий при главе администрации (губернаторе) Краснодарского края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sz w:val="22"/>
              </w:rPr>
              <w:t>реализация механизмов общественного контроля за деятельностью органов исполнительной власти Краснодарского края в области государственного регулирования цен (тарифов), в том числе по формированию и реализации инвестиционных программ субъектов естественных монополий</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2"/>
              </w:rPr>
            </w:pPr>
            <w:r>
              <w:rPr>
                <w:sz w:val="22"/>
              </w:rPr>
              <w:t xml:space="preserve">ежегодно, </w:t>
            </w:r>
          </w:p>
          <w:p>
            <w:pPr>
              <w:pStyle w:val="Normal"/>
              <w:spacing w:lineRule="auto" w:line="240" w:before="0" w:after="0"/>
              <w:jc w:val="center"/>
              <w:rPr>
                <w:sz w:val="22"/>
              </w:rPr>
            </w:pPr>
            <w:r>
              <w:rPr>
                <w:sz w:val="22"/>
              </w:rPr>
              <w:t>до 1 июля,</w:t>
            </w:r>
          </w:p>
          <w:p>
            <w:pPr>
              <w:pStyle w:val="Normal"/>
              <w:spacing w:lineRule="auto" w:line="240" w:before="0" w:after="0"/>
              <w:jc w:val="center"/>
              <w:rPr>
                <w:rFonts w:eastAsia="Times New Roman" w:cs="Times New Roman"/>
                <w:sz w:val="22"/>
                <w:lang w:eastAsia="ru-RU"/>
              </w:rPr>
            </w:pPr>
            <w:r>
              <w:rPr>
                <w:sz w:val="22"/>
              </w:rPr>
              <w:t>до 20 декабря</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sz w:val="22"/>
              </w:rPr>
              <w:t>проведение заседаний Межотраслевого совета потребителей по вопросам деятельности субъектов естественных монополий при главе администрации (губернаторе) Краснодарского края</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sz w:val="22"/>
              </w:rPr>
              <w:t>департамент государственного регулирования тарифов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rPr>
                <w:rFonts w:eastAsia="Times New Roman" w:cs="Times New Roman"/>
                <w:sz w:val="22"/>
                <w:lang w:eastAsia="ru-RU"/>
              </w:rPr>
            </w:pPr>
            <w:r>
              <w:rPr>
                <w:sz w:val="22"/>
              </w:rPr>
              <w:t xml:space="preserve">департамент государственного регулирования тарифов Краснодарского края, </w:t>
              <w:br/>
              <w:t xml:space="preserve">министерство топливно-энергетического комплекса и жилищно-коммунального хозяйства Краснодарского края, </w:t>
              <w:br/>
              <w:t>министерство транспорта и дорожного хозяйства Краснодарского края</w:t>
            </w:r>
          </w:p>
        </w:tc>
      </w:tr>
      <w:tr>
        <w:trPr>
          <w:trHeight w:val="392" w:hRule="atLeast"/>
        </w:trPr>
        <w:tc>
          <w:tcPr>
            <w:tcW w:w="14595"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sz w:val="22"/>
                <w:vertAlign w:val="superscript"/>
              </w:rPr>
            </w:pPr>
            <w:r>
              <w:rPr>
                <w:sz w:val="22"/>
              </w:rPr>
              <w:t>23. Мероприятия, направленные на определение состава имущества, находящегося в собственности Краснодарского края, не используемого для реализации функций и полномочий органов государственной власти субъектов Российской Федерации и его приватизацию</w:t>
            </w:r>
          </w:p>
        </w:tc>
      </w:tr>
      <w:tr>
        <w:trPr>
          <w:trHeight w:val="1718"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23.1</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sz w:val="22"/>
              </w:rPr>
              <w:t>Определение состава имущества, находящегося в собственности Краснодарского края, не используемого для реализации функций и полномочий органов государственной власти Краснодарского края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sz w:val="22"/>
              </w:rPr>
              <w:t>выявление неиспользуемого имущества</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2"/>
              </w:rPr>
            </w:pPr>
            <w:r>
              <w:rPr>
                <w:sz w:val="22"/>
              </w:rPr>
              <w:t xml:space="preserve">до 1 января 2024 г. </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sz w:val="22"/>
              </w:rPr>
              <w:t>оптимизация структуры государственной собственности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sz w:val="22"/>
              </w:rPr>
              <w:t>департамент имущественных отношений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sz w:val="22"/>
              </w:rPr>
              <w:t>департамент имущественных отношений Краснодарского края, отраслевые органы исполнительной власти Краснодарского края</w:t>
            </w:r>
          </w:p>
        </w:tc>
      </w:tr>
      <w:tr>
        <w:trPr>
          <w:trHeight w:val="1136"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23.2</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sz w:val="22"/>
              </w:rPr>
              <w:t>Обеспечение приватизации имущества, находящегося в собственности Краснодарского края, не используемого для реализации функций и полномочий органов государственной власти Краснодарского края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sz w:val="22"/>
              </w:rPr>
              <w:t>сокращение государственного сектора в экономике</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2"/>
              </w:rPr>
            </w:pPr>
            <w:r>
              <w:rPr>
                <w:sz w:val="22"/>
              </w:rPr>
              <w:t xml:space="preserve">до 31 </w:t>
            </w:r>
          </w:p>
          <w:p>
            <w:pPr>
              <w:pStyle w:val="Normal"/>
              <w:spacing w:lineRule="auto" w:line="240" w:before="0" w:after="0"/>
              <w:jc w:val="center"/>
              <w:rPr>
                <w:sz w:val="22"/>
              </w:rPr>
            </w:pPr>
            <w:r>
              <w:rPr>
                <w:sz w:val="22"/>
              </w:rPr>
              <w:t>декабря 2025 г.</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sz w:val="22"/>
              </w:rPr>
              <w:t>вовлечение имущества в хозяйственный оборот</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sz w:val="22"/>
              </w:rPr>
              <w:t>департамент имущественных отношений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sz w:val="22"/>
              </w:rPr>
              <w:t>департамент имущественных отношений Краснодарского края, отраслевые органы исполнительной власти Краснодарского края</w:t>
            </w:r>
          </w:p>
        </w:tc>
      </w:tr>
      <w:tr>
        <w:trPr>
          <w:trHeight w:val="255"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23.3</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Краснодарского края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выявление неиспользуемого муниципального имущества</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до 31 </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декабря 2025 г. </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оптимизация структуры муниципальной собственности</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rFonts w:eastAsia="Times New Roman" w:cs="Times New Roman"/>
                <w:sz w:val="22"/>
                <w:lang w:eastAsia="ru-RU"/>
              </w:rPr>
              <w:t>министерство экономики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255"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13" w:right="-108" w:hanging="0"/>
              <w:jc w:val="center"/>
              <w:rPr>
                <w:rFonts w:cs="Times New Roman"/>
                <w:sz w:val="22"/>
                <w:szCs w:val="24"/>
              </w:rPr>
            </w:pPr>
            <w:r>
              <w:rPr>
                <w:rFonts w:cs="Times New Roman"/>
                <w:sz w:val="22"/>
                <w:szCs w:val="24"/>
              </w:rPr>
              <w:t>23.4</w:t>
            </w:r>
          </w:p>
        </w:tc>
        <w:tc>
          <w:tcPr>
            <w:tcW w:w="34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Обеспечение приватизации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Краснодарского края</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сокращение муниципального сектора в экономике</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до 31 </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декабря </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2025 г.</w:t>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вовлечение имущества в хозяйственный оборот</w:t>
            </w:r>
          </w:p>
        </w:tc>
        <w:tc>
          <w:tcPr>
            <w:tcW w:w="18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rPr>
            </w:pPr>
            <w:r>
              <w:rPr>
                <w:rFonts w:eastAsia="Times New Roman" w:cs="Times New Roman"/>
                <w:sz w:val="22"/>
                <w:lang w:eastAsia="ru-RU"/>
              </w:rPr>
              <w:t>министерство экономики Краснодарского края</w:t>
            </w:r>
          </w:p>
        </w:tc>
        <w:tc>
          <w:tcPr>
            <w:tcW w:w="22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255" w:hRule="atLeast"/>
        </w:trPr>
        <w:tc>
          <w:tcPr>
            <w:tcW w:w="14595" w:type="dxa"/>
            <w:gridSpan w:val="7"/>
            <w:tcBorders>
              <w:top w:val="single" w:sz="4" w:space="0" w:color="000000"/>
              <w:left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vertAlign w:val="superscript"/>
                <w:lang w:eastAsia="ru-RU"/>
              </w:rPr>
              <w:t>1</w:t>
            </w:r>
            <w:r>
              <w:rPr>
                <w:rFonts w:eastAsia="Times New Roman" w:cs="Times New Roman"/>
                <w:sz w:val="22"/>
                <w:lang w:eastAsia="ru-RU"/>
              </w:rPr>
              <w:t>) С учетом Методических рекомендаций по информационному наполнению инвестиционных порталов муниципальных районов и городских округов Краснодарского края в информационно-телекоммуникационной сети «Интернет», разрабатываемых департаментом инвестиций и развития малого и среднего предпринимательства Краснодарского края.</w:t>
            </w:r>
          </w:p>
        </w:tc>
      </w:tr>
    </w:tbl>
    <w:p>
      <w:pPr>
        <w:pStyle w:val="Normal"/>
        <w:spacing w:lineRule="auto" w:line="240" w:before="0" w:after="0"/>
        <w:ind w:right="-31" w:hanging="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right="-31" w:hanging="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right="-31" w:hanging="0"/>
        <w:jc w:val="center"/>
        <w:rPr>
          <w:rFonts w:eastAsia="Times New Roman" w:cs="Times New Roman"/>
          <w:sz w:val="24"/>
          <w:szCs w:val="24"/>
          <w:lang w:eastAsia="ru-RU"/>
        </w:rPr>
      </w:pPr>
      <w:r>
        <w:rPr>
          <w:rFonts w:eastAsia="Times New Roman" w:cs="Times New Roman"/>
          <w:sz w:val="24"/>
          <w:szCs w:val="24"/>
          <w:lang w:eastAsia="ru-RU"/>
        </w:rPr>
        <w:t xml:space="preserve">Раздел 4. Организационно-методическое обеспечение реализации в Краснодарском крае стандарта развития конкуренции в субъектах </w:t>
        <w:br/>
        <w:t>Российской Федерации (далее – Стандарт)</w:t>
      </w:r>
    </w:p>
    <w:p>
      <w:pPr>
        <w:pStyle w:val="Normal"/>
        <w:spacing w:lineRule="auto" w:line="240" w:before="0" w:after="0"/>
        <w:jc w:val="left"/>
        <w:rPr>
          <w:rFonts w:eastAsia="Times New Roman" w:cs="Times New Roman"/>
          <w:sz w:val="24"/>
          <w:szCs w:val="24"/>
          <w:lang w:eastAsia="ru-RU"/>
        </w:rPr>
      </w:pPr>
      <w:r>
        <w:rPr>
          <w:rFonts w:eastAsia="Times New Roman" w:cs="Times New Roman"/>
          <w:sz w:val="24"/>
          <w:szCs w:val="24"/>
          <w:lang w:eastAsia="ru-RU"/>
        </w:rPr>
      </w:r>
    </w:p>
    <w:tbl>
      <w:tblPr>
        <w:tblW w:w="14625" w:type="dxa"/>
        <w:jc w:val="left"/>
        <w:tblInd w:w="0" w:type="dxa"/>
        <w:tblCellMar>
          <w:top w:w="0" w:type="dxa"/>
          <w:left w:w="108" w:type="dxa"/>
          <w:bottom w:w="0" w:type="dxa"/>
          <w:right w:w="108" w:type="dxa"/>
        </w:tblCellMar>
        <w:tblLook w:val="04a0" w:noVBand="1" w:noHBand="0" w:lastColumn="0" w:firstColumn="1" w:lastRow="0" w:firstRow="1"/>
      </w:tblPr>
      <w:tblGrid>
        <w:gridCol w:w="703"/>
        <w:gridCol w:w="5244"/>
        <w:gridCol w:w="1558"/>
        <w:gridCol w:w="4535"/>
        <w:gridCol w:w="2585"/>
      </w:tblGrid>
      <w:tr>
        <w:trPr>
          <w:tblHeader w:val="true"/>
          <w:trHeight w:val="843"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п/п</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Наименование системного мероприятия</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 xml:space="preserve">Срок </w:t>
            </w:r>
          </w:p>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исполнения мероприятия</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Результаты исполнения мероприятия</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Ответственный исполнитель, соисполнитель</w:t>
            </w:r>
          </w:p>
        </w:tc>
      </w:tr>
    </w:tbl>
    <w:p>
      <w:pPr>
        <w:pStyle w:val="Normal"/>
        <w:spacing w:lineRule="auto" w:line="240" w:before="0" w:after="0"/>
        <w:jc w:val="left"/>
        <w:rPr>
          <w:rFonts w:eastAsia="Times New Roman" w:cs="Times New Roman"/>
          <w:sz w:val="2"/>
          <w:szCs w:val="2"/>
          <w:lang w:eastAsia="ru-RU"/>
        </w:rPr>
      </w:pPr>
      <w:r>
        <w:rPr>
          <w:rFonts w:eastAsia="Times New Roman" w:cs="Times New Roman"/>
          <w:sz w:val="2"/>
          <w:szCs w:val="2"/>
          <w:lang w:eastAsia="ru-RU"/>
        </w:rPr>
      </w:r>
    </w:p>
    <w:tbl>
      <w:tblPr>
        <w:tblW w:w="14625" w:type="dxa"/>
        <w:jc w:val="left"/>
        <w:tblInd w:w="0" w:type="dxa"/>
        <w:tblCellMar>
          <w:top w:w="0" w:type="dxa"/>
          <w:left w:w="108" w:type="dxa"/>
          <w:bottom w:w="0" w:type="dxa"/>
          <w:right w:w="108" w:type="dxa"/>
        </w:tblCellMar>
        <w:tblLook w:val="04a0" w:noVBand="1" w:noHBand="0" w:lastColumn="0" w:firstColumn="1" w:lastRow="0" w:firstRow="1"/>
      </w:tblPr>
      <w:tblGrid>
        <w:gridCol w:w="703"/>
        <w:gridCol w:w="5244"/>
        <w:gridCol w:w="1558"/>
        <w:gridCol w:w="4535"/>
        <w:gridCol w:w="2585"/>
      </w:tblGrid>
      <w:tr>
        <w:trPr>
          <w:tblHeader w:val="true"/>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1</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3</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4</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31" w:hanging="0"/>
              <w:jc w:val="center"/>
              <w:rPr>
                <w:rFonts w:eastAsia="Times New Roman" w:cs="Times New Roman"/>
                <w:sz w:val="22"/>
                <w:lang w:eastAsia="ru-RU"/>
              </w:rPr>
            </w:pPr>
            <w:r>
              <w:rPr>
                <w:rFonts w:eastAsia="Times New Roman" w:cs="Times New Roman"/>
                <w:sz w:val="22"/>
                <w:lang w:eastAsia="ru-RU"/>
              </w:rPr>
              <w:t>5</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1</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Организация деятельности Совета по содействию развитию конкуренции в Краснодарском крае </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2022 – 2025</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рассмотрение вопросов содействия развитию конкуренции на заседаниях коллегиального органа</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2</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Внесение изменений в перечень товарных рынков</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2022 – 2025</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определение основных направлений для выявления путей решения актуальных социально-экономических проблем через развитие конкурентной среды</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3</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Разработка, корректировка, реализация и мониторинг планов мероприятий по содействию развитию конкуренции в курируемых сферах деятельности (далее – ведомственные планы мероприятий) и планов мероприятий («дорожных карт») по содействию развитию конкуренции в муниципальных районах и городских округах (далее – муниципальные планы мероприятий) по реализации мероприятий «дорожной карты» по содействию развитию конкуренции </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2022 – 2025</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выполнение отраслевыми органами исполнительной власти и органами местного самоуправления муниципальных образований Краснодарского края требований Стандарта</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отраслевые органы исполнительной власти Краснодарского края,</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4</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Проведение мониторинга, анализа и оценки состояния и развития конкуренции на товарных рынках Краснодарского края </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2022 – 2025</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выполнение требований Стандарта в части проведения ежегодного мониторинга состояния и развития конкуренции на региональных товарных рынках </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отраслевые органы </w:t>
              <w:br/>
              <w:t xml:space="preserve">исполнительной власти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4.1</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sz w:val="22"/>
                <w:szCs w:val="22"/>
              </w:rPr>
            </w:pPr>
            <w:r>
              <w:rPr>
                <w:sz w:val="22"/>
                <w:szCs w:val="22"/>
              </w:rPr>
              <w:t>Осуществление мониторинга информационных ресурсов Краснодарского края по выявлению проблемных вопросов на региональных товарных рынках, включая степень удовлетворенности потребителей качеством и доступностью товаров, работ и услуг, а также состоянием ценовой конкуренции</w:t>
            </w:r>
          </w:p>
          <w:p>
            <w:pPr>
              <w:pStyle w:val="NormalWeb"/>
              <w:spacing w:lineRule="auto" w:line="240" w:before="0" w:after="0"/>
              <w:rPr>
                <w:rFonts w:eastAsia="Times New Roman"/>
                <w:sz w:val="22"/>
                <w:szCs w:val="22"/>
                <w:lang w:eastAsia="ru-RU"/>
              </w:rPr>
            </w:pPr>
            <w:r>
              <w:rPr>
                <w:rFonts w:eastAsia="Times New Roman"/>
                <w:sz w:val="22"/>
                <w:szCs w:val="22"/>
                <w:lang w:eastAsia="ru-RU"/>
              </w:rPr>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2022 – 2025</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rFonts w:eastAsia="Times New Roman"/>
                <w:sz w:val="22"/>
                <w:szCs w:val="22"/>
                <w:lang w:eastAsia="ru-RU"/>
              </w:rPr>
            </w:pPr>
            <w:r>
              <w:rPr>
                <w:rFonts w:eastAsia="Times New Roman"/>
                <w:sz w:val="22"/>
                <w:szCs w:val="22"/>
                <w:lang w:eastAsia="ru-RU"/>
              </w:rPr>
              <w:t xml:space="preserve">оперативное реагирование на проблемные ситуации </w:t>
            </w:r>
            <w:r>
              <w:rPr>
                <w:sz w:val="22"/>
                <w:szCs w:val="22"/>
              </w:rPr>
              <w:t>на региональных товарных рынках</w:t>
            </w:r>
            <w:r>
              <w:rPr>
                <w:rFonts w:eastAsia="Times New Roman"/>
                <w:sz w:val="22"/>
                <w:szCs w:val="22"/>
                <w:lang w:eastAsia="ru-RU"/>
              </w:rPr>
              <w:t xml:space="preserve"> и принятие управленческих решений по их минимизации и (или) устранению</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ЦУР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отраслевые органы </w:t>
              <w:br/>
              <w:t xml:space="preserve">исполнительной власти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rHeight w:val="884" w:hRule="atLeast"/>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4.2</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sz w:val="22"/>
                <w:szCs w:val="22"/>
              </w:rPr>
            </w:pPr>
            <w:r>
              <w:rPr>
                <w:sz w:val="22"/>
                <w:szCs w:val="22"/>
              </w:rPr>
              <w:t xml:space="preserve">Формирование информационного отчета в уполномоченный орган по содействию развитию конкуренции в Краснодарском крае </w:t>
            </w:r>
          </w:p>
          <w:p>
            <w:pPr>
              <w:pStyle w:val="NormalWeb"/>
              <w:spacing w:lineRule="auto" w:line="240" w:before="0" w:after="0"/>
              <w:rPr>
                <w:sz w:val="22"/>
                <w:szCs w:val="22"/>
              </w:rPr>
            </w:pPr>
            <w:r>
              <w:rPr>
                <w:sz w:val="22"/>
                <w:szCs w:val="22"/>
              </w:rPr>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sz w:val="22"/>
              </w:rPr>
              <w:t xml:space="preserve">ежемесячно, до 10 числа месяца, следующего за отчетным </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sz w:val="22"/>
                <w:szCs w:val="22"/>
              </w:rPr>
            </w:pPr>
            <w:r>
              <w:rPr>
                <w:sz w:val="22"/>
                <w:szCs w:val="22"/>
              </w:rPr>
              <w:t xml:space="preserve">своевременное информирование о возникновении проблемных ситуаций на региональных товарных рынках уполномоченного органа по содействию развитию конкуренции в Краснодарском крае </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ЦУР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5</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Размещение на официальных сайтах органов исполнительной власти Краснодарского края, ответственных за реализацию государственной политики по развитию конкуренции, в сети «Интернет» информации о результатах реализации государственной политики по развитию конкуренции, в том числе положений Национального плана</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2022 – 2025</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своевременность, полнота исполнения распоряжения Правительства Российской Федерации, повышение уровня информированности потребителей о результатах исполнения мероприятий Национального плана, размещение информация по исполнению мероприятий Национального плана на сайтах органов исполнительной власти Краснодарского края, доклад в уполномоченный орган</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отраслевые органы </w:t>
              <w:br/>
              <w:t>исполнительной власти Краснодарского края,</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6</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Формирование рейтинга муниципальных районов и городских округов в части их деятельности по содействию развитию конкуренции и обеспечению условий для благоприятного инвестиционного климата </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2022 – 2025</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мотивация органов местного самоуправления муниципальных образований Краснодарского края к выполнению требований Стандарта, выявление лучших практик, способствующих развитию конкуренции</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7</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Формирование рейтинга отраслевых органов исполнительной власти Краснодарского края по реализации государственной политики по содействию развитию конкуренции </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2022 – 2025</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мотивация отраслевых органов исполнительной власти Краснодарского края к выполнению требований Стандарта, выявление лучших практик, способствующих развитию конкуренции</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8</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Подготовка доклада о состоянии и развитии конкуренции на товарных рынках Краснодарского края </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rFonts w:eastAsia="Times New Roman" w:cs="Times New Roman"/>
                <w:sz w:val="22"/>
                <w:lang w:eastAsia="ru-RU"/>
              </w:rPr>
              <w:t>2022 – 2025</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оценка результатов внедрения в Краснодарском крае Стандарта</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w:t>
            </w:r>
          </w:p>
          <w:p>
            <w:pPr>
              <w:pStyle w:val="Normal"/>
              <w:spacing w:lineRule="auto" w:line="240" w:before="0" w:after="0"/>
              <w:textAlignment w:val="baseline"/>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9</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Внедрение лучших региональных практик содействия развитию конкуренции, рекомендованных для внедрения на территории субъектов Российской Федерации</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2022 – 2025</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повышение результативности и эффективности деятельности отраслевых органов исполнительной власти и органов местного самоуправления муниципальных образований Краснодарского края по реализации Стандарта</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10</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both"/>
              <w:rPr>
                <w:rFonts w:ascii="Times New Roman" w:hAnsi="Times New Roman" w:cs="Times New Roman"/>
                <w:sz w:val="22"/>
                <w:szCs w:val="22"/>
              </w:rPr>
            </w:pPr>
            <w:r>
              <w:rPr>
                <w:rFonts w:cs="Times New Roman" w:ascii="Times New Roman" w:hAnsi="Times New Roman"/>
                <w:sz w:val="22"/>
                <w:szCs w:val="22"/>
              </w:rPr>
              <w:t>Организация мероприятий по информационно-методической поддержке заказчиков Краснодарского края</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2022-2025</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2"/>
                <w:szCs w:val="22"/>
              </w:rPr>
            </w:pPr>
            <w:r>
              <w:rPr>
                <w:rFonts w:cs="Times New Roman" w:ascii="Times New Roman" w:hAnsi="Times New Roman"/>
                <w:sz w:val="22"/>
                <w:szCs w:val="22"/>
              </w:rPr>
              <w:t>повышение уровня информированности заказчиков Краснодарского края по вопросам расширения практики осуществления совместных закупок в рамках реализации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c>
          <w:tcPr>
            <w:tcW w:w="25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t>департамент по регулированию контрактной системы Краснодарского края, главные распорядители средств краевого бюджета, заказчики Краснодарского края, 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11</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both"/>
              <w:rPr>
                <w:rFonts w:ascii="Times New Roman" w:hAnsi="Times New Roman" w:cs="Times New Roman"/>
                <w:sz w:val="22"/>
                <w:szCs w:val="22"/>
              </w:rPr>
            </w:pPr>
            <w:r>
              <w:rPr>
                <w:rFonts w:cs="Times New Roman" w:ascii="Times New Roman" w:hAnsi="Times New Roman"/>
                <w:sz w:val="22"/>
                <w:szCs w:val="22"/>
              </w:rPr>
              <w:t xml:space="preserve">Создание и осуществление деятельности рабочей группы (иного совещательного органа) по формированию отраслевой конкурентной политики с участием представителей бизнеса и общественных организаций </w:t>
            </w:r>
          </w:p>
        </w:tc>
        <w:tc>
          <w:tcPr>
            <w:tcW w:w="1558" w:type="dxa"/>
            <w:vMerge w:val="restart"/>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2022-2025</w:t>
            </w:r>
          </w:p>
          <w:p>
            <w:pPr>
              <w:pStyle w:val="ConsPlusNormal"/>
              <w:jc w:val="center"/>
              <w:rPr>
                <w:rFonts w:ascii="Times New Roman" w:hAnsi="Times New Roman" w:cs="Times New Roman"/>
                <w:sz w:val="22"/>
                <w:szCs w:val="22"/>
              </w:rPr>
            </w:pPr>
            <w:r>
              <w:rPr>
                <w:rFonts w:cs="Times New Roman" w:ascii="Times New Roman" w:hAnsi="Times New Roman"/>
                <w:sz w:val="22"/>
                <w:szCs w:val="22"/>
              </w:rPr>
            </w:r>
          </w:p>
        </w:tc>
        <w:tc>
          <w:tcPr>
            <w:tcW w:w="4535" w:type="dxa"/>
            <w:vMerge w:val="restart"/>
            <w:tcBorders>
              <w:top w:val="single" w:sz="4" w:space="0" w:color="000000"/>
              <w:left w:val="single" w:sz="4" w:space="0" w:color="000000"/>
              <w:bottom w:val="single" w:sz="4" w:space="0" w:color="000000"/>
              <w:right w:val="single" w:sz="4" w:space="0" w:color="000000"/>
            </w:tcBorders>
            <w:shd w:fill="auto" w:val="clear"/>
          </w:tcPr>
          <w:p>
            <w:pPr>
              <w:pStyle w:val="ConsPlusNormal"/>
              <w:jc w:val="both"/>
              <w:rPr>
                <w:rFonts w:ascii="Times New Roman" w:hAnsi="Times New Roman" w:cs="Times New Roman"/>
                <w:sz w:val="22"/>
                <w:szCs w:val="22"/>
              </w:rPr>
            </w:pPr>
            <w:r>
              <w:rPr>
                <w:rFonts w:cs="Times New Roman" w:ascii="Times New Roman" w:hAnsi="Times New Roman"/>
                <w:sz w:val="22"/>
              </w:rPr>
              <w:t>повышение результативности и эффективности деятельности отраслевых органов исполнительной власти и органов местного самоуправления муниципальных образований Краснодарского края по реализации Стандарта</w:t>
            </w:r>
          </w:p>
        </w:tc>
        <w:tc>
          <w:tcPr>
            <w:tcW w:w="258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 xml:space="preserve">отраслевые органы исполнительной власти Краснодарского края, </w:t>
            </w:r>
          </w:p>
          <w:p>
            <w:pPr>
              <w:pStyle w:val="Normal"/>
              <w:spacing w:lineRule="auto" w:line="240" w:before="0" w:after="0"/>
              <w:rPr>
                <w:rFonts w:eastAsia="Times New Roman" w:cs="Times New Roman"/>
                <w:sz w:val="22"/>
                <w:lang w:eastAsia="ru-RU"/>
              </w:rPr>
            </w:pPr>
            <w:r>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11.1</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both"/>
              <w:rPr>
                <w:rFonts w:ascii="Times New Roman" w:hAnsi="Times New Roman" w:cs="Times New Roman"/>
                <w:sz w:val="22"/>
                <w:szCs w:val="22"/>
              </w:rPr>
            </w:pPr>
            <w:r>
              <w:rPr>
                <w:rFonts w:cs="Times New Roman" w:ascii="Times New Roman" w:hAnsi="Times New Roman"/>
                <w:sz w:val="22"/>
                <w:szCs w:val="22"/>
              </w:rPr>
              <w:t xml:space="preserve">Создание и осуществление деятельности рабочей группы (иного совещательного органа) по содействию развитию конкуренции в муниципальных образованиях Краснодарского края </w:t>
            </w:r>
          </w:p>
        </w:tc>
        <w:tc>
          <w:tcPr>
            <w:tcW w:w="1558" w:type="dxa"/>
            <w:vMerge w:val="continue"/>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r>
          </w:p>
        </w:tc>
        <w:tc>
          <w:tcPr>
            <w:tcW w:w="4535" w:type="dxa"/>
            <w:vMerge w:val="continue"/>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2"/>
                <w:szCs w:val="22"/>
              </w:rPr>
            </w:pPr>
            <w:r>
              <w:rPr>
                <w:rFonts w:cs="Times New Roman" w:ascii="Times New Roman" w:hAnsi="Times New Roman"/>
                <w:sz w:val="22"/>
                <w:szCs w:val="22"/>
              </w:rPr>
            </w:r>
          </w:p>
        </w:tc>
        <w:tc>
          <w:tcPr>
            <w:tcW w:w="258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r>
          </w:p>
        </w:tc>
      </w:tr>
      <w:tr>
        <w:trPr/>
        <w:tc>
          <w:tcPr>
            <w:tcW w:w="70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2"/>
                <w:szCs w:val="22"/>
              </w:rPr>
            </w:pPr>
            <w:r>
              <w:rPr>
                <w:rFonts w:cs="Times New Roman" w:ascii="Times New Roman" w:hAnsi="Times New Roman"/>
                <w:sz w:val="22"/>
                <w:szCs w:val="22"/>
              </w:rPr>
              <w:t>11.2</w:t>
            </w:r>
          </w:p>
        </w:tc>
        <w:tc>
          <w:tcPr>
            <w:tcW w:w="5244"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sz w:val="22"/>
                <w:szCs w:val="22"/>
              </w:rPr>
            </w:pPr>
            <w:r>
              <w:rPr>
                <w:sz w:val="22"/>
                <w:szCs w:val="22"/>
              </w:rPr>
              <w:t xml:space="preserve">Формирование информационного отчета в уполномоченный орган по содействию развитию конкуренции в Краснодарском крае </w:t>
            </w:r>
          </w:p>
          <w:p>
            <w:pPr>
              <w:pStyle w:val="NormalWeb"/>
              <w:spacing w:lineRule="auto" w:line="240" w:before="0" w:after="0"/>
              <w:rPr>
                <w:sz w:val="22"/>
                <w:szCs w:val="22"/>
              </w:rPr>
            </w:pPr>
            <w:r>
              <w:rPr>
                <w:sz w:val="22"/>
                <w:szCs w:val="22"/>
              </w:rPr>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textAlignment w:val="baseline"/>
              <w:rPr>
                <w:rFonts w:eastAsia="Times New Roman" w:cs="Times New Roman"/>
                <w:sz w:val="22"/>
                <w:lang w:eastAsia="ru-RU"/>
              </w:rPr>
            </w:pPr>
            <w:r>
              <w:rPr>
                <w:sz w:val="22"/>
              </w:rPr>
              <w:t xml:space="preserve">ежемесячно, до 10 числа месяца, следующего за отчетным </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sz w:val="22"/>
                <w:szCs w:val="22"/>
              </w:rPr>
            </w:pPr>
            <w:r>
              <w:rPr>
                <w:sz w:val="22"/>
                <w:szCs w:val="22"/>
              </w:rPr>
              <w:t xml:space="preserve">информирование о состоянии конкуренции на региональных товарных рынках уполномоченного органа по содействию развитию конкуренции в Краснодарском крае </w:t>
            </w:r>
          </w:p>
        </w:tc>
        <w:tc>
          <w:tcPr>
            <w:tcW w:w="258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sz w:val="22"/>
              </w:rPr>
            </w:pPr>
            <w:r>
              <w:rPr>
                <w:rFonts w:cs="Times New Roman"/>
                <w:sz w:val="22"/>
              </w:rPr>
            </w:r>
          </w:p>
        </w:tc>
      </w:tr>
    </w:tbl>
    <w:p>
      <w:pPr>
        <w:sectPr>
          <w:headerReference w:type="default" r:id="rId4"/>
          <w:type w:val="nextPage"/>
          <w:pgSz w:orient="landscape" w:w="16838" w:h="11906"/>
          <w:pgMar w:left="1134" w:right="1134" w:header="709" w:top="1701" w:footer="0" w:bottom="510" w:gutter="0"/>
          <w:pgNumType w:fmt="decimal"/>
          <w:formProt w:val="false"/>
          <w:textDirection w:val="lrTb"/>
          <w:docGrid w:type="default" w:linePitch="381" w:charSpace="0"/>
        </w:sectPr>
      </w:pPr>
    </w:p>
    <w:p>
      <w:pPr>
        <w:pStyle w:val="Normal"/>
        <w:widowControl w:val="false"/>
        <w:shd w:val="clear" w:color="auto" w:fill="FFFFFF"/>
        <w:spacing w:lineRule="auto" w:line="240" w:before="0" w:after="0"/>
        <w:ind w:left="10206" w:right="-1" w:hanging="0"/>
        <w:jc w:val="left"/>
        <w:rPr>
          <w:rFonts w:eastAsia="Times New Roman" w:cs="Times New Roman"/>
          <w:spacing w:val="1"/>
          <w:szCs w:val="28"/>
        </w:rPr>
      </w:pPr>
      <w:r>
        <w:rPr>
          <w:rFonts w:eastAsia="Times New Roman" w:cs="Times New Roman"/>
          <w:spacing w:val="1"/>
          <w:szCs w:val="28"/>
        </w:rPr>
        <w:t>Приложение 1</w:t>
      </w:r>
    </w:p>
    <w:p>
      <w:pPr>
        <w:pStyle w:val="Normal"/>
        <w:widowControl w:val="false"/>
        <w:shd w:val="clear" w:color="auto" w:fill="FFFFFF"/>
        <w:spacing w:lineRule="auto" w:line="240" w:before="0" w:after="0"/>
        <w:ind w:left="10206" w:right="-1" w:hanging="0"/>
        <w:jc w:val="left"/>
        <w:rPr>
          <w:rFonts w:eastAsia="Times New Roman" w:cs="Times New Roman"/>
          <w:spacing w:val="1"/>
          <w:szCs w:val="28"/>
        </w:rPr>
      </w:pPr>
      <w:r>
        <w:rPr>
          <w:rFonts w:eastAsia="Times New Roman" w:cs="Times New Roman"/>
          <w:spacing w:val="1"/>
          <w:szCs w:val="28"/>
        </w:rPr>
        <w:t xml:space="preserve">к плану мероприятий </w:t>
      </w:r>
    </w:p>
    <w:p>
      <w:pPr>
        <w:pStyle w:val="Normal"/>
        <w:widowControl w:val="false"/>
        <w:shd w:val="clear" w:color="auto" w:fill="FFFFFF"/>
        <w:spacing w:lineRule="auto" w:line="240" w:before="0" w:after="0"/>
        <w:ind w:left="10206" w:right="-1" w:hanging="0"/>
        <w:jc w:val="left"/>
        <w:rPr>
          <w:rFonts w:eastAsia="Times New Roman" w:cs="Times New Roman"/>
          <w:spacing w:val="1"/>
          <w:szCs w:val="28"/>
        </w:rPr>
      </w:pPr>
      <w:r>
        <w:rPr>
          <w:rFonts w:eastAsia="Times New Roman" w:cs="Times New Roman"/>
          <w:spacing w:val="1"/>
          <w:szCs w:val="28"/>
        </w:rPr>
        <w:t xml:space="preserve">(«дорожной карте») </w:t>
      </w:r>
    </w:p>
    <w:p>
      <w:pPr>
        <w:pStyle w:val="Normal"/>
        <w:widowControl w:val="false"/>
        <w:shd w:val="clear" w:color="auto" w:fill="FFFFFF"/>
        <w:spacing w:lineRule="auto" w:line="240" w:before="0" w:after="0"/>
        <w:ind w:left="10206" w:right="-1" w:hanging="0"/>
        <w:jc w:val="left"/>
        <w:rPr>
          <w:rFonts w:eastAsia="Times New Roman" w:cs="Times New Roman"/>
          <w:spacing w:val="1"/>
          <w:szCs w:val="28"/>
        </w:rPr>
      </w:pPr>
      <w:r>
        <w:rPr>
          <w:rFonts w:eastAsia="Times New Roman" w:cs="Times New Roman"/>
          <w:spacing w:val="1"/>
          <w:szCs w:val="28"/>
        </w:rPr>
        <w:t xml:space="preserve">по содействию развитию </w:t>
      </w:r>
    </w:p>
    <w:p>
      <w:pPr>
        <w:pStyle w:val="Normal"/>
        <w:widowControl w:val="false"/>
        <w:shd w:val="clear" w:color="auto" w:fill="FFFFFF"/>
        <w:spacing w:lineRule="auto" w:line="240" w:before="0" w:after="0"/>
        <w:ind w:left="10206" w:right="-1" w:hanging="0"/>
        <w:jc w:val="left"/>
        <w:rPr>
          <w:rFonts w:eastAsia="Times New Roman" w:cs="Times New Roman"/>
          <w:spacing w:val="1"/>
          <w:szCs w:val="28"/>
        </w:rPr>
      </w:pPr>
      <w:r>
        <w:rPr>
          <w:rFonts w:eastAsia="Times New Roman" w:cs="Times New Roman"/>
          <w:spacing w:val="1"/>
          <w:szCs w:val="28"/>
        </w:rPr>
        <w:t xml:space="preserve">конкуренции в Краснодарском крае </w:t>
      </w:r>
    </w:p>
    <w:p>
      <w:pPr>
        <w:pStyle w:val="Normal"/>
        <w:spacing w:lineRule="auto" w:line="240" w:before="0" w:after="0"/>
        <w:jc w:val="center"/>
        <w:rPr>
          <w:rFonts w:eastAsia="Times New Roman" w:cs="Times New Roman"/>
          <w:b/>
          <w:b/>
          <w:bCs/>
          <w:szCs w:val="28"/>
          <w:lang w:eastAsia="ru-RU"/>
        </w:rPr>
      </w:pPr>
      <w:r>
        <w:rPr>
          <w:rFonts w:eastAsia="Times New Roman" w:cs="Times New Roman"/>
          <w:b/>
          <w:bCs/>
          <w:szCs w:val="28"/>
          <w:lang w:eastAsia="ru-RU"/>
        </w:rPr>
      </w:r>
    </w:p>
    <w:p>
      <w:pPr>
        <w:pStyle w:val="Normal"/>
        <w:spacing w:lineRule="auto" w:line="240" w:before="0" w:after="0"/>
        <w:rPr>
          <w:rFonts w:eastAsia="Times New Roman" w:cs="Times New Roman"/>
          <w:b/>
          <w:b/>
          <w:bCs/>
          <w:szCs w:val="28"/>
          <w:lang w:eastAsia="ru-RU"/>
        </w:rPr>
      </w:pPr>
      <w:r>
        <w:rPr>
          <w:rFonts w:eastAsia="Times New Roman" w:cs="Times New Roman"/>
          <w:b/>
          <w:bCs/>
          <w:szCs w:val="28"/>
          <w:lang w:eastAsia="ru-RU"/>
        </w:rPr>
      </w:r>
    </w:p>
    <w:p>
      <w:pPr>
        <w:pStyle w:val="Normal"/>
        <w:spacing w:lineRule="auto" w:line="240" w:before="0" w:after="0"/>
        <w:jc w:val="center"/>
        <w:rPr>
          <w:rFonts w:eastAsia="Times New Roman" w:cs="Times New Roman"/>
          <w:b/>
          <w:b/>
          <w:bCs/>
          <w:szCs w:val="28"/>
          <w:lang w:eastAsia="ru-RU"/>
        </w:rPr>
      </w:pPr>
      <w:r>
        <w:rPr>
          <w:rFonts w:eastAsia="Times New Roman" w:cs="Times New Roman"/>
          <w:b/>
          <w:bCs/>
          <w:szCs w:val="28"/>
          <w:lang w:eastAsia="ru-RU"/>
        </w:rPr>
        <w:t>МЕРОПРИЯТИЯ</w:t>
      </w:r>
    </w:p>
    <w:p>
      <w:pPr>
        <w:pStyle w:val="Normal"/>
        <w:spacing w:lineRule="auto" w:line="240" w:before="0" w:after="0"/>
        <w:jc w:val="center"/>
        <w:rPr>
          <w:rFonts w:eastAsia="Times New Roman" w:cs="Times New Roman"/>
          <w:b/>
          <w:b/>
          <w:bCs/>
          <w:szCs w:val="28"/>
          <w:lang w:eastAsia="ru-RU"/>
        </w:rPr>
      </w:pPr>
      <w:r>
        <mc:AlternateContent>
          <mc:Choice Requires="wps">
            <w:drawing>
              <wp:anchor behindDoc="0" distT="0" distB="0" distL="0" distR="0" simplePos="0" locked="0" layoutInCell="1" allowOverlap="1" relativeHeight="3">
                <wp:simplePos x="0" y="0"/>
                <wp:positionH relativeFrom="column">
                  <wp:posOffset>9471660</wp:posOffset>
                </wp:positionH>
                <wp:positionV relativeFrom="paragraph">
                  <wp:posOffset>160020</wp:posOffset>
                </wp:positionV>
                <wp:extent cx="391160" cy="953135"/>
                <wp:effectExtent l="0" t="0" r="9525" b="0"/>
                <wp:wrapNone/>
                <wp:docPr id="9" name="Надпись 20"/>
                <a:graphic xmlns:a="http://schemas.openxmlformats.org/drawingml/2006/main">
                  <a:graphicData uri="http://schemas.microsoft.com/office/word/2010/wordprocessingShape">
                    <wps:wsp>
                      <wps:cNvSpPr/>
                      <wps:spPr>
                        <a:xfrm>
                          <a:off x="0" y="0"/>
                          <a:ext cx="390600" cy="952560"/>
                        </a:xfrm>
                        <a:prstGeom prst="rect">
                          <a:avLst/>
                        </a:prstGeom>
                        <a:solidFill>
                          <a:schemeClr val="lt1"/>
                        </a:solidFill>
                        <a:ln w="6480">
                          <a:noFill/>
                        </a:ln>
                      </wps:spPr>
                      <wps:style>
                        <a:lnRef idx="0"/>
                        <a:fillRef idx="0"/>
                        <a:effectRef idx="0"/>
                        <a:fontRef idx="minor"/>
                      </wps:style>
                      <wps:txbx>
                        <w:txbxContent>
                          <w:p>
                            <w:pPr>
                              <w:pStyle w:val="Style37"/>
                              <w:spacing w:before="0" w:after="200"/>
                              <w:rPr/>
                            </w:pPr>
                            <w:r>
                              <w:rPr/>
                            </w:r>
                          </w:p>
                        </w:txbxContent>
                      </wps:txbx>
                      <wps:bodyPr>
                        <a:prstTxWarp prst="textNoShape"/>
                        <a:noAutofit/>
                      </wps:bodyPr>
                    </wps:wsp>
                  </a:graphicData>
                </a:graphic>
              </wp:anchor>
            </w:drawing>
          </mc:Choice>
          <mc:Fallback>
            <w:pict>
              <v:rect id="shape_0" ID="Надпись 20" fillcolor="white" stroked="f" style="position:absolute;margin-left:745.8pt;margin-top:12.6pt;width:30.7pt;height:74.95pt">
                <w10:wrap type="none"/>
                <v:fill o:detectmouseclick="t" type="solid" color2="black"/>
                <v:stroke color="#3465a4" weight="6480" joinstyle="round" endcap="flat"/>
                <v:textbox>
                  <w:txbxContent>
                    <w:p>
                      <w:pPr>
                        <w:pStyle w:val="Style37"/>
                        <w:spacing w:before="0" w:after="200"/>
                        <w:rPr/>
                      </w:pPr>
                      <w:r>
                        <w:rPr/>
                      </w:r>
                    </w:p>
                  </w:txbxContent>
                </v:textbox>
              </v:rect>
            </w:pict>
          </mc:Fallback>
        </mc:AlternateContent>
      </w:r>
      <w:r>
        <w:rPr>
          <w:rFonts w:eastAsia="Times New Roman" w:cs="Times New Roman"/>
          <w:b/>
          <w:bCs/>
          <w:szCs w:val="28"/>
          <w:lang w:eastAsia="ru-RU"/>
        </w:rPr>
        <w:t xml:space="preserve">стратегических, программных и иных документов, реализация которых оказывает влияние на состояние </w:t>
      </w:r>
    </w:p>
    <w:p>
      <w:pPr>
        <w:pStyle w:val="Normal"/>
        <w:spacing w:lineRule="auto" w:line="240" w:before="0" w:after="0"/>
        <w:jc w:val="center"/>
        <w:rPr>
          <w:rFonts w:eastAsia="Times New Roman" w:cs="Times New Roman"/>
          <w:b/>
          <w:b/>
          <w:bCs/>
          <w:szCs w:val="28"/>
          <w:lang w:eastAsia="ru-RU"/>
        </w:rPr>
      </w:pPr>
      <w:r>
        <w:rPr>
          <w:rFonts w:eastAsia="Times New Roman" w:cs="Times New Roman"/>
          <w:b/>
          <w:bCs/>
          <w:szCs w:val="28"/>
          <w:lang w:eastAsia="ru-RU"/>
        </w:rPr>
        <w:t>конкуренции на товарных рынках Краснодарского края</w:t>
      </w:r>
    </w:p>
    <w:p>
      <w:pPr>
        <w:pStyle w:val="Normal"/>
        <w:spacing w:lineRule="auto" w:line="240" w:before="0" w:after="0"/>
        <w:jc w:val="center"/>
        <w:rPr>
          <w:rFonts w:eastAsia="Times New Roman" w:cs="Times New Roman"/>
          <w:bCs/>
          <w:szCs w:val="28"/>
          <w:lang w:eastAsia="ru-RU"/>
        </w:rPr>
      </w:pPr>
      <w:r>
        <w:rPr>
          <w:rFonts w:eastAsia="Times New Roman" w:cs="Times New Roman"/>
          <w:bCs/>
          <w:szCs w:val="28"/>
          <w:lang w:eastAsia="ru-RU"/>
        </w:rPr>
      </w:r>
    </w:p>
    <w:p>
      <w:pPr>
        <w:pStyle w:val="Normal"/>
        <w:spacing w:lineRule="auto" w:line="240" w:before="0" w:after="0"/>
        <w:jc w:val="left"/>
        <w:rPr>
          <w:rFonts w:eastAsia="Times New Roman" w:cs="Times New Roman"/>
          <w:sz w:val="2"/>
          <w:szCs w:val="2"/>
          <w:lang w:eastAsia="ru-RU"/>
        </w:rPr>
      </w:pPr>
      <w:r>
        <w:rPr>
          <w:rFonts w:eastAsia="Times New Roman" w:cs="Times New Roman"/>
          <w:sz w:val="2"/>
          <w:szCs w:val="2"/>
          <w:lang w:eastAsia="ru-RU"/>
        </w:rPr>
        <mc:AlternateContent>
          <mc:Choice Requires="wps">
            <w:drawing>
              <wp:anchor behindDoc="0" distT="0" distB="0" distL="0" distR="0" simplePos="0" locked="0" layoutInCell="1" allowOverlap="1" relativeHeight="5" wp14:anchorId="0B436EBF">
                <wp:simplePos x="0" y="0"/>
                <wp:positionH relativeFrom="column">
                  <wp:posOffset>9453880</wp:posOffset>
                </wp:positionH>
                <wp:positionV relativeFrom="paragraph">
                  <wp:posOffset>90805</wp:posOffset>
                </wp:positionV>
                <wp:extent cx="362585" cy="1029335"/>
                <wp:effectExtent l="0" t="0" r="0" b="0"/>
                <wp:wrapNone/>
                <wp:docPr id="11" name="Надпись 2"/>
                <a:graphic xmlns:a="http://schemas.openxmlformats.org/drawingml/2006/main">
                  <a:graphicData uri="http://schemas.microsoft.com/office/word/2010/wordprocessingShape">
                    <wps:wsp>
                      <wps:cNvSpPr/>
                      <wps:spPr>
                        <a:xfrm>
                          <a:off x="0" y="0"/>
                          <a:ext cx="361800" cy="1028880"/>
                        </a:xfrm>
                        <a:prstGeom prst="rect">
                          <a:avLst/>
                        </a:prstGeom>
                        <a:solidFill>
                          <a:srgbClr val="ffffff"/>
                        </a:solidFill>
                        <a:ln w="6480">
                          <a:noFill/>
                        </a:ln>
                      </wps:spPr>
                      <wps:style>
                        <a:lnRef idx="0"/>
                        <a:fillRef idx="0"/>
                        <a:effectRef idx="0"/>
                        <a:fontRef idx="minor"/>
                      </wps:style>
                      <wps:txbx>
                        <w:txbxContent>
                          <w:p>
                            <w:pPr>
                              <w:pStyle w:val="Style37"/>
                              <w:spacing w:before="0" w:after="200"/>
                              <w:rPr/>
                            </w:pPr>
                            <w:r>
                              <w:rPr/>
                            </w:r>
                          </w:p>
                        </w:txbxContent>
                      </wps:txbx>
                      <wps:bodyPr>
                        <a:prstTxWarp prst="textNoShape"/>
                        <a:noAutofit/>
                      </wps:bodyPr>
                    </wps:wsp>
                  </a:graphicData>
                </a:graphic>
              </wp:anchor>
            </w:drawing>
          </mc:Choice>
          <mc:Fallback>
            <w:pict>
              <v:rect id="shape_0" ID="Надпись 2" fillcolor="white" stroked="f" style="position:absolute;margin-left:744.4pt;margin-top:7.15pt;width:28.45pt;height:80.95pt" wp14:anchorId="0B436EBF">
                <w10:wrap type="none"/>
                <v:fill o:detectmouseclick="t" type="solid" color2="black"/>
                <v:stroke color="#3465a4" weight="6480" joinstyle="round" endcap="flat"/>
                <v:textbox>
                  <w:txbxContent>
                    <w:p>
                      <w:pPr>
                        <w:pStyle w:val="Style37"/>
                        <w:spacing w:before="0" w:after="200"/>
                        <w:rPr/>
                      </w:pPr>
                      <w:r>
                        <w:rPr/>
                      </w:r>
                    </w:p>
                  </w:txbxContent>
                </v:textbox>
              </v:rect>
            </w:pict>
          </mc:Fallback>
        </mc:AlternateContent>
      </w:r>
    </w:p>
    <w:tbl>
      <w:tblPr>
        <w:tblStyle w:val="a7"/>
        <w:tblW w:w="14596" w:type="dxa"/>
        <w:jc w:val="center"/>
        <w:tblInd w:w="0" w:type="dxa"/>
        <w:tblCellMar>
          <w:top w:w="0" w:type="dxa"/>
          <w:left w:w="108" w:type="dxa"/>
          <w:bottom w:w="0" w:type="dxa"/>
          <w:right w:w="108" w:type="dxa"/>
        </w:tblCellMar>
        <w:tblLook w:val="04a0" w:noVBand="1" w:noHBand="0" w:lastColumn="0" w:firstColumn="1" w:lastRow="0" w:firstRow="1"/>
      </w:tblPr>
      <w:tblGrid>
        <w:gridCol w:w="703"/>
        <w:gridCol w:w="4252"/>
        <w:gridCol w:w="4109"/>
        <w:gridCol w:w="3685"/>
        <w:gridCol w:w="1847"/>
      </w:tblGrid>
      <w:tr>
        <w:trPr>
          <w:tblHeader w:val="true"/>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w:t>
            </w:r>
          </w:p>
          <w:p>
            <w:pPr>
              <w:pStyle w:val="Normal"/>
              <w:spacing w:lineRule="auto" w:line="240" w:before="0" w:after="0"/>
              <w:jc w:val="center"/>
              <w:rPr>
                <w:sz w:val="22"/>
              </w:rPr>
            </w:pPr>
            <w:r>
              <w:rPr>
                <w:rFonts w:eastAsia="Times New Roman" w:cs="Times New Roman"/>
                <w:sz w:val="22"/>
                <w:szCs w:val="20"/>
                <w:lang w:eastAsia="ru-RU"/>
              </w:rPr>
              <w:t>п/п</w:t>
            </w:r>
          </w:p>
        </w:tc>
        <w:tc>
          <w:tcPr>
            <w:tcW w:w="4252"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Мероприятие</w:t>
              <w:tab/>
            </w:r>
          </w:p>
          <w:p>
            <w:pPr>
              <w:pStyle w:val="Normal"/>
              <w:spacing w:lineRule="auto" w:line="240" w:before="0" w:after="0"/>
              <w:jc w:val="center"/>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4109"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Стратегический /</w:t>
            </w:r>
          </w:p>
          <w:p>
            <w:pPr>
              <w:pStyle w:val="Normal"/>
              <w:spacing w:lineRule="auto" w:line="240" w:before="0" w:after="0"/>
              <w:jc w:val="center"/>
              <w:rPr>
                <w:sz w:val="22"/>
              </w:rPr>
            </w:pPr>
            <w:r>
              <w:rPr>
                <w:rFonts w:eastAsia="Times New Roman" w:cs="Times New Roman"/>
                <w:sz w:val="22"/>
                <w:szCs w:val="20"/>
                <w:lang w:eastAsia="ru-RU"/>
              </w:rPr>
              <w:t>программный / иной документ</w:t>
            </w:r>
          </w:p>
        </w:tc>
        <w:tc>
          <w:tcPr>
            <w:tcW w:w="3685"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 xml:space="preserve">Показатели эффективности </w:t>
            </w:r>
          </w:p>
          <w:p>
            <w:pPr>
              <w:pStyle w:val="Normal"/>
              <w:spacing w:lineRule="auto" w:line="240" w:before="0" w:after="0"/>
              <w:jc w:val="center"/>
              <w:rPr>
                <w:sz w:val="22"/>
              </w:rPr>
            </w:pPr>
            <w:r>
              <w:rPr>
                <w:rFonts w:eastAsia="Times New Roman" w:cs="Times New Roman"/>
                <w:sz w:val="22"/>
                <w:szCs w:val="20"/>
                <w:lang w:eastAsia="ru-RU"/>
              </w:rPr>
              <w:t>программного мероприятия</w:t>
            </w:r>
          </w:p>
        </w:tc>
        <w:tc>
          <w:tcPr>
            <w:tcW w:w="1847"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Ответственный исполнитель</w:t>
            </w:r>
          </w:p>
        </w:tc>
      </w:tr>
    </w:tbl>
    <w:p>
      <w:pPr>
        <w:pStyle w:val="Normal"/>
        <w:spacing w:lineRule="auto" w:line="240" w:before="0" w:after="0"/>
        <w:jc w:val="left"/>
        <w:rPr>
          <w:rFonts w:eastAsia="Times New Roman" w:cs="Times New Roman"/>
          <w:sz w:val="2"/>
          <w:szCs w:val="2"/>
          <w:lang w:eastAsia="ru-RU"/>
        </w:rPr>
      </w:pPr>
      <w:r>
        <w:rPr>
          <w:rFonts w:eastAsia="Times New Roman" w:cs="Times New Roman"/>
          <w:sz w:val="2"/>
          <w:szCs w:val="2"/>
          <w:lang w:eastAsia="ru-RU"/>
        </w:rPr>
      </w:r>
    </w:p>
    <w:tbl>
      <w:tblPr>
        <w:tblStyle w:val="a7"/>
        <w:tblW w:w="14595" w:type="dxa"/>
        <w:jc w:val="center"/>
        <w:tblInd w:w="0" w:type="dxa"/>
        <w:tblCellMar>
          <w:top w:w="0" w:type="dxa"/>
          <w:left w:w="108" w:type="dxa"/>
          <w:bottom w:w="0" w:type="dxa"/>
          <w:right w:w="108" w:type="dxa"/>
        </w:tblCellMar>
        <w:tblLook w:val="04a0" w:noVBand="1" w:noHBand="0" w:lastColumn="0" w:firstColumn="1" w:lastRow="0" w:firstRow="1"/>
      </w:tblPr>
      <w:tblGrid>
        <w:gridCol w:w="703"/>
        <w:gridCol w:w="4252"/>
        <w:gridCol w:w="4109"/>
        <w:gridCol w:w="3686"/>
        <w:gridCol w:w="1845"/>
      </w:tblGrid>
      <w:tr>
        <w:trPr>
          <w:tblHeader w:val="true"/>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w:t>
            </w:r>
          </w:p>
        </w:tc>
        <w:tc>
          <w:tcPr>
            <w:tcW w:w="4252"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2</w:t>
            </w:r>
          </w:p>
        </w:tc>
        <w:tc>
          <w:tcPr>
            <w:tcW w:w="4109"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3</w:t>
            </w:r>
          </w:p>
        </w:tc>
        <w:tc>
          <w:tcPr>
            <w:tcW w:w="3686"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4</w:t>
            </w:r>
          </w:p>
        </w:tc>
        <w:tc>
          <w:tcPr>
            <w:tcW w:w="1845"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5</w:t>
            </w:r>
          </w:p>
        </w:tc>
      </w:tr>
      <w:tr>
        <w:trPr>
          <w:trHeight w:val="68" w:hRule="atLeast"/>
        </w:trPr>
        <w:tc>
          <w:tcPr>
            <w:tcW w:w="14595" w:type="dxa"/>
            <w:gridSpan w:val="5"/>
            <w:tcBorders/>
            <w:shd w:fill="auto" w:val="clear"/>
          </w:tcPr>
          <w:p>
            <w:pPr>
              <w:pStyle w:val="Normal"/>
              <w:widowControl w:val="false"/>
              <w:numPr>
                <w:ilvl w:val="0"/>
                <w:numId w:val="2"/>
              </w:numPr>
              <w:tabs>
                <w:tab w:val="clear" w:pos="708"/>
                <w:tab w:val="left" w:pos="1365" w:leader="none"/>
              </w:tabs>
              <w:spacing w:lineRule="auto" w:line="240" w:before="0" w:after="0"/>
              <w:contextualSpacing/>
              <w:jc w:val="center"/>
              <w:rPr>
                <w:sz w:val="22"/>
              </w:rPr>
            </w:pPr>
            <w:r>
              <w:rPr>
                <w:rFonts w:eastAsia="Times New Roman" w:cs="Times New Roman"/>
                <w:sz w:val="22"/>
                <w:szCs w:val="20"/>
                <w:lang w:eastAsia="ru-RU"/>
              </w:rPr>
              <w:t>Рынок дошкольного образования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1.1</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Предоставление грантов в форме субсидий некоммерческим организациям, не являющимся казенными учреждениями, в целях реализации проектов, 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w:t>
            </w:r>
          </w:p>
        </w:tc>
        <w:tc>
          <w:tcPr>
            <w:tcW w:w="4109"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«Развитие образования», утвержденная постановлением главы </w:t>
              <w:br/>
              <w:t>администрации (губернатора) Краснодарского края от 5 октября 2015 г. № 939</w:t>
            </w:r>
          </w:p>
        </w:tc>
        <w:tc>
          <w:tcPr>
            <w:tcW w:w="3686"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количество дошкольных образовательных организаций – победителей конкурса</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образования, науки и молодежной политики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1.2</w:t>
            </w:r>
          </w:p>
        </w:tc>
        <w:tc>
          <w:tcPr>
            <w:tcW w:w="4252"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Предоставление субсидий субъектам малого и среднего предпринимательства в целях возмещения части затрат, связанных с созданием и (или) развитием центров времяпрепровождения детей – групп дневного времяпрепровождения детей дошкольного возраста и иными подобными видами деятельности</w:t>
            </w:r>
          </w:p>
        </w:tc>
        <w:tc>
          <w:tcPr>
            <w:tcW w:w="4109"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tc>
        <w:tc>
          <w:tcPr>
            <w:tcW w:w="3686"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 4 ед.</w:t>
            </w:r>
          </w:p>
          <w:p>
            <w:pPr>
              <w:pStyle w:val="Normal"/>
              <w:widowControl w:val="false"/>
              <w:spacing w:lineRule="auto" w:line="240" w:before="0" w:after="0"/>
              <w:rPr>
                <w:sz w:val="22"/>
              </w:rPr>
            </w:pPr>
            <w:r>
              <w:rPr>
                <w:rFonts w:eastAsia="Times New Roman" w:cs="Times New Roman"/>
                <w:sz w:val="22"/>
                <w:szCs w:val="20"/>
                <w:lang w:eastAsia="ru-RU"/>
              </w:rPr>
              <w:t>число детей, воспользовавшихся услугами центров времяпрепровождения детей, – 20 чел.</w:t>
            </w:r>
          </w:p>
          <w:p>
            <w:pPr>
              <w:pStyle w:val="Normal"/>
              <w:widowControl w:val="false"/>
              <w:spacing w:lineRule="auto" w:line="240" w:before="0" w:after="0"/>
              <w:rPr>
                <w:sz w:val="22"/>
              </w:rPr>
            </w:pPr>
            <w:r>
              <w:rPr>
                <w:rFonts w:eastAsia="Times New Roman" w:cs="Times New Roman"/>
                <w:sz w:val="22"/>
                <w:szCs w:val="20"/>
                <w:lang w:eastAsia="ru-RU"/>
              </w:rPr>
              <w:t>число получивших государственную поддержку центров времяпрепровождения детей – 2 ед.</w:t>
            </w:r>
          </w:p>
        </w:tc>
        <w:tc>
          <w:tcPr>
            <w:tcW w:w="1845"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министерство образования, науки и молодежной политики Краснодарского края</w:t>
            </w:r>
          </w:p>
        </w:tc>
      </w:tr>
      <w:tr>
        <w:trPr>
          <w:trHeight w:val="3837"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1.3</w:t>
            </w:r>
          </w:p>
        </w:tc>
        <w:tc>
          <w:tcPr>
            <w:tcW w:w="4252"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Предоставление субвенций бюджетам муниципальных районов (городских округов) Краснодарского края на осуществление государственных полномочий в области образования по финансовому обеспечению получения дошкольного образования в частных дошкольных образовательных организациях, включающих расходы на предоставление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109"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«Развитие образования», утвержденная постановлением главы </w:t>
              <w:br/>
              <w:t>администрации (губернатора) Краснодарского края от 5 октября 2015 г. № 939</w:t>
            </w:r>
          </w:p>
        </w:tc>
        <w:tc>
          <w:tcPr>
            <w:tcW w:w="3686"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обеспечение государственных гарантий реализации прав на получение общедоступного и бесплатного дошкольного образования для 100 % получателей услуг в частных дошкольных образовательных организациях и у индивидуальных предпринимателей, оказывающих услуги в сфере дошкольного образования ежегодно</w:t>
            </w:r>
          </w:p>
        </w:tc>
        <w:tc>
          <w:tcPr>
            <w:tcW w:w="1845"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министерство образования, науки и молодежной политики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1.4</w:t>
            </w:r>
          </w:p>
        </w:tc>
        <w:tc>
          <w:tcPr>
            <w:tcW w:w="4252"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Предоставление субвенций бюджетам муниципальных районов (городских, округов) Краснодарского края на осуществление государственных полномочий в области образования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включающих расходы на предоставление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109"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«Развитие образования», утвержденная постановлением главы </w:t>
              <w:br/>
              <w:t>администрации (губернатора) Краснодарского края от 5 октября 2015 г. № 939</w:t>
            </w:r>
          </w:p>
        </w:tc>
        <w:tc>
          <w:tcPr>
            <w:tcW w:w="3686"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обеспечение государственных гарантий реализации прав на получение общедоступного и бесплатного дошкольного образования для 100 % получателей услуг в частных общеобразовательных организациях ежегодно</w:t>
            </w:r>
          </w:p>
        </w:tc>
        <w:tc>
          <w:tcPr>
            <w:tcW w:w="1845"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министерство образования, науки и молодежной политики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1.5</w:t>
            </w:r>
          </w:p>
        </w:tc>
        <w:tc>
          <w:tcPr>
            <w:tcW w:w="4252"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Предоставление субвенций бюджетам муниципальных районов (городских округов) Краснодарского края на выплату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109"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«Развитие образования», утвержденная постановлением главы </w:t>
              <w:br/>
              <w:t>администрации (губернатора) Краснодарского края от 5 октября 2015 г. № 939</w:t>
            </w:r>
          </w:p>
        </w:tc>
        <w:tc>
          <w:tcPr>
            <w:tcW w:w="3686"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выплата компенсации части родительской платы начиная с 2022 года - 253,3 тысячи воспитанников ежегодно (включая воспитанников в организациях частной формы собственности)</w:t>
            </w:r>
          </w:p>
        </w:tc>
        <w:tc>
          <w:tcPr>
            <w:tcW w:w="1845"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министерство образования, науки и молодежной политики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1.6</w:t>
            </w:r>
          </w:p>
        </w:tc>
        <w:tc>
          <w:tcPr>
            <w:tcW w:w="4252"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Предоставление грантов в форме субсидий юридическим лицам (за исключением государственных (муниципальных) учреждений), индивидуальным предпринимателям                    в целях создания дополнительных мест (групп) для детей в возрасте от 1,5 до 3 лет в организациях, осуществляющих образовательную деятельность,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рамках реализации мероприятий регионального проекта «Содействие занятости»</w:t>
            </w:r>
          </w:p>
        </w:tc>
        <w:tc>
          <w:tcPr>
            <w:tcW w:w="4109"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«Развитие образования», утвержденная постановлением главы </w:t>
              <w:br/>
              <w:t>администрации (губернатора) Краснодарского края от 5 октября 2015 г. № 939,</w:t>
            </w:r>
            <w:r>
              <w:rPr>
                <w:rFonts w:eastAsia="Times New Roman" w:cs="Times New Roman"/>
                <w:szCs w:val="20"/>
                <w:lang w:eastAsia="ru-RU"/>
              </w:rPr>
              <w:t xml:space="preserve"> </w:t>
            </w:r>
            <w:r>
              <w:rPr>
                <w:rFonts w:eastAsia="Times New Roman" w:cs="Times New Roman"/>
                <w:sz w:val="22"/>
                <w:szCs w:val="22"/>
                <w:lang w:eastAsia="ru-RU"/>
              </w:rPr>
              <w:t>паспорт</w:t>
            </w:r>
            <w:r>
              <w:rPr>
                <w:rFonts w:eastAsia="Times New Roman" w:cs="Times New Roman"/>
                <w:szCs w:val="20"/>
                <w:lang w:eastAsia="ru-RU"/>
              </w:rPr>
              <w:t xml:space="preserve"> </w:t>
            </w:r>
            <w:r>
              <w:rPr>
                <w:rFonts w:eastAsia="Times New Roman" w:cs="Times New Roman"/>
                <w:sz w:val="22"/>
                <w:szCs w:val="20"/>
                <w:lang w:eastAsia="ru-RU"/>
              </w:rPr>
              <w:t>регионального проекта «Содействие занятости», паспорт национального проекта «Демография»</w:t>
            </w:r>
          </w:p>
        </w:tc>
        <w:tc>
          <w:tcPr>
            <w:tcW w:w="3686"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 xml:space="preserve">количество юридических лиц, индивидуальных предпринимателей - </w:t>
              <w:br/>
              <w:t>не менее 1 единицы ежегодно</w:t>
            </w:r>
          </w:p>
        </w:tc>
        <w:tc>
          <w:tcPr>
            <w:tcW w:w="1845"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министерство образования, науки и молодежной политики Краснодарского края</w:t>
            </w:r>
          </w:p>
        </w:tc>
      </w:tr>
      <w:tr>
        <w:trPr>
          <w:trHeight w:val="122" w:hRule="atLeast"/>
        </w:trPr>
        <w:tc>
          <w:tcPr>
            <w:tcW w:w="14595" w:type="dxa"/>
            <w:gridSpan w:val="5"/>
            <w:tcBorders/>
            <w:shd w:fill="auto" w:val="clear"/>
          </w:tcPr>
          <w:p>
            <w:pPr>
              <w:pStyle w:val="Normal"/>
              <w:widowControl w:val="false"/>
              <w:tabs>
                <w:tab w:val="clear" w:pos="708"/>
                <w:tab w:val="left" w:pos="1365" w:leader="none"/>
              </w:tabs>
              <w:spacing w:lineRule="auto" w:line="240" w:before="0" w:after="0"/>
              <w:jc w:val="center"/>
              <w:rPr>
                <w:sz w:val="22"/>
              </w:rPr>
            </w:pPr>
            <w:r>
              <w:rPr>
                <w:rFonts w:eastAsia="Times New Roman" w:cs="Times New Roman"/>
                <w:sz w:val="22"/>
                <w:szCs w:val="20"/>
                <w:lang w:eastAsia="ru-RU"/>
              </w:rPr>
              <w:t>2. Рынок общего образования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2.1</w:t>
            </w:r>
          </w:p>
        </w:tc>
        <w:tc>
          <w:tcPr>
            <w:tcW w:w="4252"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Предоставление субвенций бюджетам муниципальных районов (городских, округов) Краснодарского края на осуществление государственных полномочий в области образования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включающих расходы на предоставление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pPr>
              <w:pStyle w:val="Normal"/>
              <w:tabs>
                <w:tab w:val="clear" w:pos="708"/>
                <w:tab w:val="left" w:pos="1046" w:leader="none"/>
              </w:tabs>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4109"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«Развитие образования», утвержденная постановлением главы </w:t>
              <w:br/>
              <w:t>администрации (губернатора) Краснодарского края от 5 октября 2015 г. № 939</w:t>
            </w:r>
          </w:p>
        </w:tc>
        <w:tc>
          <w:tcPr>
            <w:tcW w:w="3686"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для 100 % получателей услуг в частных общеобразовательных организациях ежегодно</w:t>
            </w:r>
          </w:p>
        </w:tc>
        <w:tc>
          <w:tcPr>
            <w:tcW w:w="1845"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министерство образования, науки и молодежной политики Краснодарского края</w:t>
            </w:r>
          </w:p>
        </w:tc>
      </w:tr>
      <w:tr>
        <w:trPr>
          <w:trHeight w:val="68" w:hRule="atLeast"/>
        </w:trPr>
        <w:tc>
          <w:tcPr>
            <w:tcW w:w="14595" w:type="dxa"/>
            <w:gridSpan w:val="5"/>
            <w:tcBorders/>
            <w:shd w:fill="auto" w:val="clear"/>
          </w:tcPr>
          <w:p>
            <w:pPr>
              <w:pStyle w:val="Normal"/>
              <w:numPr>
                <w:ilvl w:val="0"/>
                <w:numId w:val="3"/>
              </w:numPr>
              <w:spacing w:lineRule="auto" w:line="240" w:before="0" w:after="0"/>
              <w:contextualSpacing/>
              <w:jc w:val="center"/>
              <w:rPr>
                <w:sz w:val="22"/>
              </w:rPr>
            </w:pPr>
            <w:r>
              <w:rPr>
                <w:rFonts w:eastAsia="Times New Roman" w:cs="Times New Roman"/>
                <w:sz w:val="22"/>
                <w:szCs w:val="20"/>
                <w:lang w:eastAsia="ru-RU"/>
              </w:rPr>
              <w:t>Рынок среднего профессионального образования</w:t>
            </w:r>
          </w:p>
        </w:tc>
      </w:tr>
      <w:tr>
        <w:trPr>
          <w:trHeight w:val="3158" w:hRule="atLeast"/>
        </w:trPr>
        <w:tc>
          <w:tcPr>
            <w:tcW w:w="703" w:type="dxa"/>
            <w:tcBorders/>
            <w:shd w:fill="auto" w:val="clear"/>
          </w:tcPr>
          <w:p>
            <w:pPr>
              <w:pStyle w:val="Normal"/>
              <w:widowControl w:val="false"/>
              <w:tabs>
                <w:tab w:val="clear" w:pos="708"/>
                <w:tab w:val="left" w:pos="1365" w:leader="none"/>
              </w:tabs>
              <w:spacing w:lineRule="auto" w:line="240" w:before="0" w:after="0"/>
              <w:jc w:val="center"/>
              <w:rPr>
                <w:rFonts w:eastAsia="Calibri"/>
                <w:sz w:val="22"/>
              </w:rPr>
            </w:pPr>
            <w:r>
              <w:rPr>
                <w:rFonts w:eastAsia="Calibri" w:cs="Times New Roman"/>
                <w:sz w:val="22"/>
                <w:szCs w:val="20"/>
                <w:lang w:eastAsia="ru-RU"/>
              </w:rPr>
              <w:t>3.1</w:t>
            </w:r>
          </w:p>
        </w:tc>
        <w:tc>
          <w:tcPr>
            <w:tcW w:w="4252" w:type="dxa"/>
            <w:tcBorders/>
            <w:shd w:fill="auto" w:val="clear"/>
          </w:tcPr>
          <w:p>
            <w:pPr>
              <w:pStyle w:val="Normal"/>
              <w:widowControl w:val="false"/>
              <w:tabs>
                <w:tab w:val="clear" w:pos="708"/>
                <w:tab w:val="left" w:pos="1365" w:leader="none"/>
              </w:tabs>
              <w:spacing w:lineRule="auto" w:line="240" w:before="0" w:after="0"/>
              <w:jc w:val="left"/>
              <w:rPr>
                <w:rFonts w:eastAsia="Calibri"/>
                <w:sz w:val="22"/>
              </w:rPr>
            </w:pPr>
            <w:r>
              <w:rPr>
                <w:rFonts w:eastAsia="Calibri" w:cs="Times New Roman"/>
                <w:sz w:val="22"/>
                <w:szCs w:val="20"/>
                <w:lang w:eastAsia="ru-RU"/>
              </w:rPr>
              <w:t>Предоставление субсидии в целях возмещения затрат на обучение граждан некоммерческими организациями, не являющимися государственными (муниципальными) учреждениями,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в том числе на выплату стипендий</w:t>
            </w:r>
          </w:p>
        </w:tc>
        <w:tc>
          <w:tcPr>
            <w:tcW w:w="4109" w:type="dxa"/>
            <w:tcBorders/>
            <w:shd w:fill="auto" w:val="clear"/>
          </w:tcPr>
          <w:p>
            <w:pPr>
              <w:pStyle w:val="Normal"/>
              <w:widowControl w:val="false"/>
              <w:tabs>
                <w:tab w:val="clear" w:pos="708"/>
                <w:tab w:val="left" w:pos="1365" w:leader="none"/>
              </w:tabs>
              <w:spacing w:lineRule="auto" w:line="240" w:before="0" w:after="0"/>
              <w:rPr>
                <w:rFonts w:eastAsia="Calibri"/>
                <w:sz w:val="22"/>
              </w:rPr>
            </w:pPr>
            <w:r>
              <w:rPr>
                <w:rFonts w:eastAsia="Calibri" w:cs="Times New Roman"/>
                <w:sz w:val="22"/>
                <w:szCs w:val="20"/>
                <w:lang w:eastAsia="ru-RU"/>
              </w:rPr>
              <w:t>государственная программа Краснодарского края «Развитие образования», утвержденная постановлением главы администрации (губернатора) Краснодарского края от 5 октября 2015 г. № 939</w:t>
            </w:r>
          </w:p>
        </w:tc>
        <w:tc>
          <w:tcPr>
            <w:tcW w:w="3686" w:type="dxa"/>
            <w:tcBorders/>
            <w:shd w:fill="auto" w:val="clear"/>
          </w:tcPr>
          <w:p>
            <w:pPr>
              <w:pStyle w:val="Normal"/>
              <w:widowControl w:val="false"/>
              <w:tabs>
                <w:tab w:val="clear" w:pos="708"/>
                <w:tab w:val="left" w:pos="1365" w:leader="none"/>
              </w:tabs>
              <w:spacing w:lineRule="auto" w:line="240" w:before="0" w:after="0"/>
              <w:rPr>
                <w:rFonts w:eastAsia="Calibri"/>
                <w:sz w:val="22"/>
              </w:rPr>
            </w:pPr>
            <w:r>
              <w:rPr>
                <w:rFonts w:eastAsia="Calibri" w:cs="Times New Roman"/>
                <w:sz w:val="22"/>
                <w:szCs w:val="20"/>
                <w:lang w:eastAsia="ru-RU"/>
              </w:rPr>
              <w:t>получение общедоступного и бесплатного среднего профессионального образования обучающимися в некоммерческих организациях, не являющихся государственными (муниципальными) учреждениями,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единиц</w:t>
            </w:r>
          </w:p>
          <w:p>
            <w:pPr>
              <w:pStyle w:val="Normal"/>
              <w:widowControl w:val="false"/>
              <w:tabs>
                <w:tab w:val="clear" w:pos="708"/>
                <w:tab w:val="left" w:pos="1365" w:leader="none"/>
              </w:tabs>
              <w:spacing w:lineRule="auto" w:line="240" w:before="0" w:after="0"/>
              <w:rPr>
                <w:rFonts w:ascii="Times New Roman" w:hAnsi="Times New Roman" w:eastAsia="Calibri" w:cs="Times New Roman"/>
                <w:sz w:val="22"/>
                <w:szCs w:val="20"/>
                <w:lang w:eastAsia="ru-RU"/>
              </w:rPr>
            </w:pPr>
            <w:r>
              <w:rPr>
                <w:rFonts w:eastAsia="Calibri" w:cs="Times New Roman"/>
                <w:sz w:val="22"/>
                <w:szCs w:val="20"/>
                <w:lang w:eastAsia="ru-RU"/>
              </w:rPr>
            </w:r>
          </w:p>
        </w:tc>
        <w:tc>
          <w:tcPr>
            <w:tcW w:w="1845" w:type="dxa"/>
            <w:tcBorders/>
            <w:shd w:fill="auto" w:val="clear"/>
          </w:tcPr>
          <w:p>
            <w:pPr>
              <w:pStyle w:val="Normal"/>
              <w:widowControl w:val="false"/>
              <w:tabs>
                <w:tab w:val="clear" w:pos="708"/>
                <w:tab w:val="left" w:pos="1365" w:leader="none"/>
              </w:tabs>
              <w:spacing w:lineRule="auto" w:line="240" w:before="0" w:after="0"/>
              <w:rPr>
                <w:rFonts w:eastAsia="Calibri"/>
                <w:sz w:val="22"/>
              </w:rPr>
            </w:pPr>
            <w:r>
              <w:rPr>
                <w:rFonts w:eastAsia="Calibri" w:cs="Times New Roman"/>
                <w:sz w:val="22"/>
                <w:szCs w:val="20"/>
                <w:lang w:eastAsia="ru-RU"/>
              </w:rPr>
              <w:t>министерство образования, науки и молодежной политики Краснодарского края</w:t>
            </w:r>
          </w:p>
        </w:tc>
      </w:tr>
      <w:tr>
        <w:trPr/>
        <w:tc>
          <w:tcPr>
            <w:tcW w:w="14595" w:type="dxa"/>
            <w:gridSpan w:val="5"/>
            <w:tcBorders/>
            <w:shd w:fill="auto" w:val="clear"/>
          </w:tcPr>
          <w:p>
            <w:pPr>
              <w:pStyle w:val="Normal"/>
              <w:widowControl w:val="false"/>
              <w:numPr>
                <w:ilvl w:val="0"/>
                <w:numId w:val="3"/>
              </w:numPr>
              <w:tabs>
                <w:tab w:val="clear" w:pos="708"/>
                <w:tab w:val="left" w:pos="1365" w:leader="none"/>
              </w:tabs>
              <w:spacing w:lineRule="auto" w:line="240" w:before="0" w:after="0"/>
              <w:contextualSpacing/>
              <w:jc w:val="center"/>
              <w:rPr>
                <w:sz w:val="22"/>
              </w:rPr>
            </w:pPr>
            <w:r>
              <w:rPr>
                <w:rFonts w:eastAsia="Times New Roman" w:cs="Times New Roman"/>
                <w:sz w:val="22"/>
                <w:szCs w:val="20"/>
                <w:lang w:eastAsia="ru-RU"/>
              </w:rPr>
              <w:t>Рынок детского отдыха и оздоровления</w:t>
            </w:r>
          </w:p>
        </w:tc>
      </w:tr>
      <w:tr>
        <w:trPr/>
        <w:tc>
          <w:tcPr>
            <w:tcW w:w="703" w:type="dxa"/>
            <w:tcBorders/>
            <w:shd w:fill="auto" w:val="clear"/>
          </w:tcPr>
          <w:p>
            <w:pPr>
              <w:pStyle w:val="Normal"/>
              <w:widowControl w:val="false"/>
              <w:tabs>
                <w:tab w:val="clear" w:pos="708"/>
                <w:tab w:val="left" w:pos="1365" w:leader="none"/>
              </w:tabs>
              <w:spacing w:lineRule="auto" w:line="240" w:before="0" w:after="0"/>
              <w:jc w:val="center"/>
              <w:rPr>
                <w:sz w:val="22"/>
              </w:rPr>
            </w:pPr>
            <w:r>
              <w:rPr>
                <w:rFonts w:eastAsia="Times New Roman" w:cs="Times New Roman"/>
                <w:sz w:val="22"/>
                <w:szCs w:val="20"/>
                <w:lang w:eastAsia="ru-RU"/>
              </w:rPr>
              <w:t>4.1</w:t>
            </w:r>
          </w:p>
        </w:tc>
        <w:tc>
          <w:tcPr>
            <w:tcW w:w="4252" w:type="dxa"/>
            <w:tcBorders/>
            <w:shd w:fill="auto" w:val="clear"/>
          </w:tcPr>
          <w:p>
            <w:pPr>
              <w:pStyle w:val="Normal"/>
              <w:widowControl w:val="false"/>
              <w:tabs>
                <w:tab w:val="clear" w:pos="708"/>
                <w:tab w:val="left" w:pos="1365" w:leader="none"/>
              </w:tabs>
              <w:spacing w:lineRule="auto" w:line="240" w:before="0" w:after="0"/>
              <w:rPr>
                <w:sz w:val="22"/>
              </w:rPr>
            </w:pPr>
            <w:r>
              <w:rPr>
                <w:rFonts w:eastAsia="Times New Roman" w:cs="Times New Roman"/>
                <w:sz w:val="22"/>
                <w:szCs w:val="20"/>
                <w:lang w:eastAsia="ru-RU"/>
              </w:rPr>
              <w:t xml:space="preserve">Предоставление единовременной выплаты в целях частичной компенсации родителям (законным представителям) стоимости приобретенных путевок (курсовок) для </w:t>
              <w:br/>
              <w:t>детей</w:t>
            </w:r>
          </w:p>
        </w:tc>
        <w:tc>
          <w:tcPr>
            <w:tcW w:w="4109" w:type="dxa"/>
            <w:tcBorders/>
            <w:shd w:fill="auto" w:val="clear"/>
          </w:tcPr>
          <w:p>
            <w:pPr>
              <w:pStyle w:val="Normal"/>
              <w:widowControl w:val="false"/>
              <w:tabs>
                <w:tab w:val="clear" w:pos="708"/>
                <w:tab w:val="left" w:pos="1365" w:leader="none"/>
              </w:tabs>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w:t>
              <w:br/>
              <w:t xml:space="preserve">от 12 октября 2015 г. № 964 </w:t>
            </w:r>
          </w:p>
        </w:tc>
        <w:tc>
          <w:tcPr>
            <w:tcW w:w="3686" w:type="dxa"/>
            <w:tcBorders/>
            <w:shd w:fill="auto" w:val="clear"/>
          </w:tcPr>
          <w:p>
            <w:pPr>
              <w:pStyle w:val="Normal"/>
              <w:widowControl w:val="false"/>
              <w:tabs>
                <w:tab w:val="clear" w:pos="708"/>
                <w:tab w:val="left" w:pos="1365" w:leader="none"/>
              </w:tabs>
              <w:spacing w:lineRule="auto" w:line="240" w:before="0" w:after="0"/>
              <w:rPr>
                <w:sz w:val="22"/>
              </w:rPr>
            </w:pPr>
            <w:r>
              <w:rPr>
                <w:rFonts w:eastAsia="Times New Roman" w:cs="Times New Roman"/>
                <w:sz w:val="22"/>
                <w:szCs w:val="20"/>
                <w:lang w:eastAsia="ru-RU"/>
              </w:rPr>
              <w:t xml:space="preserve">охват детей – </w:t>
            </w:r>
            <w:r>
              <w:rPr>
                <w:rFonts w:eastAsia="Times New Roman" w:cs="Times New Roman"/>
                <w:sz w:val="22"/>
                <w:szCs w:val="22"/>
                <w:lang w:eastAsia="ru-RU"/>
              </w:rPr>
              <w:t>2 000 детей ежегодно</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труда и социального развития Краснодарского края</w:t>
            </w:r>
          </w:p>
        </w:tc>
      </w:tr>
      <w:tr>
        <w:trPr/>
        <w:tc>
          <w:tcPr>
            <w:tcW w:w="703" w:type="dxa"/>
            <w:tcBorders/>
            <w:shd w:fill="auto" w:val="clear"/>
          </w:tcPr>
          <w:p>
            <w:pPr>
              <w:pStyle w:val="Normal"/>
              <w:widowControl w:val="false"/>
              <w:tabs>
                <w:tab w:val="clear" w:pos="708"/>
                <w:tab w:val="left" w:pos="1365" w:leader="none"/>
              </w:tabs>
              <w:spacing w:lineRule="auto" w:line="240" w:before="0" w:after="0"/>
              <w:jc w:val="center"/>
              <w:rPr>
                <w:sz w:val="22"/>
              </w:rPr>
            </w:pPr>
            <w:r>
              <w:rPr>
                <w:rFonts w:eastAsia="Times New Roman" w:cs="Times New Roman"/>
                <w:sz w:val="22"/>
                <w:szCs w:val="20"/>
                <w:lang w:eastAsia="ru-RU"/>
              </w:rPr>
              <w:t>4.2</w:t>
            </w:r>
          </w:p>
        </w:tc>
        <w:tc>
          <w:tcPr>
            <w:tcW w:w="4252" w:type="dxa"/>
            <w:tcBorders/>
            <w:shd w:fill="auto" w:val="clear"/>
          </w:tcPr>
          <w:p>
            <w:pPr>
              <w:pStyle w:val="Normal"/>
              <w:widowControl w:val="false"/>
              <w:tabs>
                <w:tab w:val="clear" w:pos="708"/>
                <w:tab w:val="left" w:pos="1365" w:leader="none"/>
              </w:tabs>
              <w:spacing w:lineRule="auto" w:line="240" w:before="0" w:after="0"/>
              <w:rPr>
                <w:sz w:val="22"/>
              </w:rPr>
            </w:pPr>
            <w:r>
              <w:rPr>
                <w:rFonts w:eastAsia="Times New Roman" w:cs="Times New Roman"/>
                <w:sz w:val="22"/>
                <w:szCs w:val="20"/>
                <w:lang w:eastAsia="ru-RU"/>
              </w:rPr>
              <w:t>Организация отдыха и оздоровления (за исключением организации отдыха детей в каникулярное время), санаторно-курортного лечения, в том числе в амбулаторных условиях (амбулаторно-курортное лечение) детей, в том числе находящихся в трудной жизненной ситуации: детей-инвалидов, детей, один из родителей (законных представителей) которых является инвалидом, детей-сирот, детей, оставшихся без попечения родителей, детей из семей, состоящих на учете в управлениях социальной защиты населения министерства труда и социальной развития Краснодарского края в муниципальных образованиях, а также воспитанников государственных казенных общеобразовательных учреждений, государственных бюджетных учреждений социального обслуживания для детей-сирот и детей, оставшихся без попечения родителей Краснодарского края в организациях отдыха детей и их оздоровления</w:t>
            </w:r>
          </w:p>
        </w:tc>
        <w:tc>
          <w:tcPr>
            <w:tcW w:w="4109" w:type="dxa"/>
            <w:tcBorders/>
            <w:shd w:fill="auto" w:val="clear"/>
          </w:tcPr>
          <w:p>
            <w:pPr>
              <w:pStyle w:val="Normal"/>
              <w:widowControl w:val="false"/>
              <w:tabs>
                <w:tab w:val="clear" w:pos="708"/>
                <w:tab w:val="left" w:pos="1365" w:leader="none"/>
              </w:tabs>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w:t>
              <w:br/>
              <w:t xml:space="preserve">от 12 октября 2015 г. № 964 </w:t>
            </w:r>
          </w:p>
        </w:tc>
        <w:tc>
          <w:tcPr>
            <w:tcW w:w="3686" w:type="dxa"/>
            <w:tcBorders/>
            <w:shd w:fill="auto" w:val="clear"/>
          </w:tcPr>
          <w:p>
            <w:pPr>
              <w:pStyle w:val="Normal"/>
              <w:widowControl w:val="false"/>
              <w:tabs>
                <w:tab w:val="clear" w:pos="708"/>
                <w:tab w:val="left" w:pos="1365" w:leader="none"/>
              </w:tabs>
              <w:spacing w:lineRule="auto" w:line="240" w:before="0" w:after="0"/>
              <w:rPr>
                <w:sz w:val="22"/>
              </w:rPr>
            </w:pPr>
            <w:r>
              <w:rPr>
                <w:rFonts w:eastAsia="Times New Roman" w:cs="Times New Roman"/>
                <w:sz w:val="22"/>
                <w:szCs w:val="20"/>
                <w:lang w:eastAsia="ru-RU"/>
              </w:rPr>
              <w:t>охват детей</w:t>
            </w:r>
            <w:r>
              <w:rPr>
                <w:rFonts w:eastAsia="Times New Roman" w:cs="Times New Roman"/>
                <w:szCs w:val="20"/>
                <w:lang w:eastAsia="ru-RU"/>
              </w:rPr>
              <w:t xml:space="preserve"> – </w:t>
            </w:r>
            <w:r>
              <w:rPr>
                <w:rFonts w:eastAsia="Times New Roman" w:cs="Times New Roman"/>
                <w:sz w:val="22"/>
                <w:szCs w:val="20"/>
                <w:lang w:eastAsia="ru-RU"/>
              </w:rPr>
              <w:t>28 400 детей ежегодно</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труда и социального развития Краснодарского края</w:t>
            </w:r>
          </w:p>
        </w:tc>
      </w:tr>
      <w:tr>
        <w:trPr/>
        <w:tc>
          <w:tcPr>
            <w:tcW w:w="703" w:type="dxa"/>
            <w:tcBorders/>
            <w:shd w:fill="auto" w:val="clear"/>
          </w:tcPr>
          <w:p>
            <w:pPr>
              <w:pStyle w:val="Normal"/>
              <w:widowControl w:val="false"/>
              <w:tabs>
                <w:tab w:val="clear" w:pos="708"/>
                <w:tab w:val="left" w:pos="1365" w:leader="none"/>
              </w:tabs>
              <w:spacing w:lineRule="auto" w:line="240" w:before="0" w:after="0"/>
              <w:jc w:val="center"/>
              <w:rPr>
                <w:sz w:val="22"/>
              </w:rPr>
            </w:pPr>
            <w:r>
              <w:rPr>
                <w:rFonts w:eastAsia="Times New Roman" w:cs="Times New Roman"/>
                <w:sz w:val="22"/>
                <w:szCs w:val="20"/>
                <w:lang w:eastAsia="ru-RU"/>
              </w:rPr>
              <w:t>4.3</w:t>
            </w:r>
          </w:p>
        </w:tc>
        <w:tc>
          <w:tcPr>
            <w:tcW w:w="4252" w:type="dxa"/>
            <w:tcBorders/>
            <w:shd w:fill="auto" w:val="clear"/>
          </w:tcPr>
          <w:p>
            <w:pPr>
              <w:pStyle w:val="Normal"/>
              <w:widowControl w:val="false"/>
              <w:tabs>
                <w:tab w:val="clear" w:pos="708"/>
                <w:tab w:val="left" w:pos="1365" w:leader="none"/>
              </w:tabs>
              <w:spacing w:lineRule="auto" w:line="240" w:before="0" w:after="0"/>
              <w:rPr>
                <w:sz w:val="22"/>
              </w:rPr>
            </w:pPr>
            <w:r>
              <w:rPr>
                <w:rFonts w:eastAsia="Times New Roman" w:cs="Times New Roman"/>
                <w:sz w:val="22"/>
                <w:szCs w:val="20"/>
                <w:lang w:eastAsia="ru-RU"/>
              </w:rPr>
              <w:t>Предоставление субсидий из краевого бюджета местным бюджетам муниципальных образований Краснодарского края на софинансирование мероприятий по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w:t>
              <w:br/>
              <w:t xml:space="preserve">от 12 октября 2015 г. № 964 </w:t>
            </w:r>
          </w:p>
        </w:tc>
        <w:tc>
          <w:tcPr>
            <w:tcW w:w="3686" w:type="dxa"/>
            <w:tcBorders/>
            <w:shd w:fill="auto" w:val="clear"/>
          </w:tcPr>
          <w:p>
            <w:pPr>
              <w:pStyle w:val="Normal"/>
              <w:widowControl w:val="false"/>
              <w:tabs>
                <w:tab w:val="clear" w:pos="708"/>
                <w:tab w:val="left" w:pos="1365" w:leader="none"/>
              </w:tabs>
              <w:spacing w:lineRule="auto" w:line="240" w:before="0" w:after="0"/>
              <w:rPr>
                <w:sz w:val="22"/>
              </w:rPr>
            </w:pPr>
            <w:r>
              <w:rPr>
                <w:rFonts w:eastAsia="Times New Roman" w:cs="Times New Roman"/>
                <w:sz w:val="22"/>
                <w:szCs w:val="20"/>
                <w:lang w:eastAsia="ru-RU"/>
              </w:rPr>
              <w:t>число детей, охваченных отдыхом в каникулярное время на базе муниципальных учреждений, осуществляющих организацию отдыха детей в Краснодарском крае –</w:t>
            </w:r>
            <w:r>
              <w:rPr>
                <w:rFonts w:eastAsia="Times New Roman" w:cs="Times New Roman"/>
                <w:szCs w:val="20"/>
                <w:lang w:eastAsia="ru-RU"/>
              </w:rPr>
              <w:t xml:space="preserve"> </w:t>
            </w:r>
            <w:r>
              <w:rPr>
                <w:rFonts w:eastAsia="Times New Roman" w:cs="Times New Roman"/>
                <w:sz w:val="22"/>
                <w:szCs w:val="20"/>
                <w:lang w:eastAsia="ru-RU"/>
              </w:rPr>
              <w:t>5500 детей ежегодно</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труда и социального развития Краснодарского края</w:t>
            </w:r>
          </w:p>
        </w:tc>
      </w:tr>
      <w:tr>
        <w:trPr/>
        <w:tc>
          <w:tcPr>
            <w:tcW w:w="703" w:type="dxa"/>
            <w:tcBorders/>
            <w:shd w:fill="auto" w:val="clear"/>
          </w:tcPr>
          <w:p>
            <w:pPr>
              <w:pStyle w:val="Normal"/>
              <w:widowControl w:val="false"/>
              <w:tabs>
                <w:tab w:val="clear" w:pos="708"/>
                <w:tab w:val="left" w:pos="1365" w:leader="none"/>
              </w:tabs>
              <w:spacing w:lineRule="auto" w:line="240" w:before="0" w:after="0"/>
              <w:jc w:val="center"/>
              <w:rPr>
                <w:sz w:val="22"/>
              </w:rPr>
            </w:pPr>
            <w:r>
              <w:rPr>
                <w:rFonts w:eastAsia="Times New Roman" w:cs="Times New Roman"/>
                <w:sz w:val="22"/>
                <w:szCs w:val="20"/>
                <w:lang w:eastAsia="ru-RU"/>
              </w:rPr>
              <w:t>4.4</w:t>
            </w:r>
          </w:p>
        </w:tc>
        <w:tc>
          <w:tcPr>
            <w:tcW w:w="4252" w:type="dxa"/>
            <w:tcBorders/>
            <w:shd w:fill="auto" w:val="clear"/>
          </w:tcPr>
          <w:p>
            <w:pPr>
              <w:pStyle w:val="Normal"/>
              <w:widowControl w:val="false"/>
              <w:tabs>
                <w:tab w:val="clear" w:pos="708"/>
                <w:tab w:val="left" w:pos="1365" w:leader="none"/>
              </w:tabs>
              <w:spacing w:lineRule="auto" w:line="240" w:before="0" w:after="0"/>
              <w:rPr>
                <w:sz w:val="22"/>
              </w:rPr>
            </w:pPr>
            <w:r>
              <w:rPr>
                <w:rFonts w:eastAsia="Times New Roman" w:cs="Times New Roman"/>
                <w:sz w:val="22"/>
                <w:szCs w:val="20"/>
                <w:lang w:eastAsia="ru-RU"/>
              </w:rPr>
              <w:t>Предоставление лицам из числа детей-сирот и детей, оставшихся без попечения родителей, при наличии медицинских показаний путевок в санаторно-курортные организации</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от </w:t>
              <w:br/>
              <w:t xml:space="preserve">12 октября 2015 г. № 964 </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охват детей – 50 человек ежегодно </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труда и социального развития Краснодарского края</w:t>
            </w:r>
          </w:p>
        </w:tc>
      </w:tr>
      <w:tr>
        <w:trPr/>
        <w:tc>
          <w:tcPr>
            <w:tcW w:w="703" w:type="dxa"/>
            <w:tcBorders/>
            <w:shd w:fill="auto" w:val="clear"/>
          </w:tcPr>
          <w:p>
            <w:pPr>
              <w:pStyle w:val="Normal"/>
              <w:widowControl w:val="false"/>
              <w:tabs>
                <w:tab w:val="clear" w:pos="708"/>
                <w:tab w:val="left" w:pos="1365" w:leader="none"/>
              </w:tabs>
              <w:spacing w:lineRule="auto" w:line="240" w:before="0" w:after="0"/>
              <w:jc w:val="center"/>
              <w:rPr>
                <w:sz w:val="22"/>
              </w:rPr>
            </w:pPr>
            <w:r>
              <w:rPr>
                <w:rFonts w:eastAsia="Times New Roman" w:cs="Times New Roman"/>
                <w:sz w:val="22"/>
                <w:szCs w:val="20"/>
                <w:lang w:eastAsia="ru-RU"/>
              </w:rPr>
              <w:t>4.5</w:t>
            </w:r>
          </w:p>
        </w:tc>
        <w:tc>
          <w:tcPr>
            <w:tcW w:w="4252" w:type="dxa"/>
            <w:tcBorders/>
            <w:shd w:fill="auto" w:val="clear"/>
          </w:tcPr>
          <w:p>
            <w:pPr>
              <w:pStyle w:val="Normal"/>
              <w:widowControl w:val="false"/>
              <w:tabs>
                <w:tab w:val="clear" w:pos="708"/>
                <w:tab w:val="left" w:pos="1365" w:leader="none"/>
              </w:tabs>
              <w:spacing w:lineRule="auto" w:line="240" w:before="0" w:after="0"/>
              <w:rPr>
                <w:sz w:val="22"/>
              </w:rPr>
            </w:pPr>
            <w:r>
              <w:rPr>
                <w:rFonts w:eastAsia="Times New Roman" w:cs="Times New Roman"/>
                <w:sz w:val="22"/>
                <w:szCs w:val="20"/>
                <w:lang w:eastAsia="ru-RU"/>
              </w:rPr>
              <w:t>Предоставление лицам из числа детей-сирот и детей, оставшихся без попечения родителей, компенсации стоимости проезда к месту лечения и обратно</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от </w:t>
              <w:br/>
              <w:t xml:space="preserve">12 октября 2015 г. № 964 </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охват детей – 22 человека ежегодно</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труда и социального развития Краснодарского края</w:t>
            </w:r>
          </w:p>
        </w:tc>
      </w:tr>
      <w:tr>
        <w:trPr>
          <w:trHeight w:val="68" w:hRule="atLeast"/>
        </w:trPr>
        <w:tc>
          <w:tcPr>
            <w:tcW w:w="14595" w:type="dxa"/>
            <w:gridSpan w:val="5"/>
            <w:tcBorders/>
            <w:shd w:fill="auto" w:val="clear"/>
          </w:tcPr>
          <w:p>
            <w:pPr>
              <w:pStyle w:val="Normal"/>
              <w:widowControl w:val="false"/>
              <w:numPr>
                <w:ilvl w:val="0"/>
                <w:numId w:val="3"/>
              </w:numPr>
              <w:tabs>
                <w:tab w:val="clear" w:pos="708"/>
                <w:tab w:val="left" w:pos="1365" w:leader="none"/>
              </w:tabs>
              <w:spacing w:lineRule="auto" w:line="240" w:before="0" w:after="0"/>
              <w:contextualSpacing/>
              <w:jc w:val="center"/>
              <w:rPr>
                <w:sz w:val="22"/>
              </w:rPr>
            </w:pPr>
            <w:r>
              <w:rPr>
                <w:rFonts w:eastAsia="Times New Roman" w:cs="Times New Roman"/>
                <w:sz w:val="22"/>
                <w:szCs w:val="20"/>
                <w:lang w:eastAsia="ru-RU"/>
              </w:rPr>
              <w:t>Рынок медицинских услуг</w:t>
            </w:r>
          </w:p>
        </w:tc>
      </w:tr>
      <w:tr>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5.1</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Оптимизация работы медицинских организаций, оказывающих первичную медико-санитарную помощь, сокращение времени ожидания в очереди при обращении граждан в указанные медицинские организации, упрощение процедуры записи на прием к врачу</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паспорт регионального проекта «Развитие системы оказания первичной медико-санитарной помощи», паспорт национального проекта «Здравоохранение»</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доля медицинских организаций, участвующих в создании и тиражировании «Новой модели медицинской организации, оказывающей первичную медико-санитарную помощь», от общего количества медицинских организаций, оказывающих данный вид помощи, процентов </w:t>
            </w:r>
          </w:p>
          <w:p>
            <w:pPr>
              <w:pStyle w:val="Normal"/>
              <w:spacing w:lineRule="auto" w:line="240" w:before="0" w:after="0"/>
              <w:ind w:firstLine="176"/>
              <w:contextualSpacing/>
              <w:rPr>
                <w:sz w:val="22"/>
                <w:szCs w:val="28"/>
              </w:rPr>
            </w:pPr>
            <w:r>
              <w:rPr>
                <w:rFonts w:eastAsia="Times New Roman" w:cs="Times New Roman"/>
                <w:sz w:val="22"/>
                <w:szCs w:val="28"/>
                <w:lang w:eastAsia="ru-RU"/>
              </w:rPr>
              <w:t>2021 год – 48;</w:t>
            </w:r>
          </w:p>
          <w:p>
            <w:pPr>
              <w:pStyle w:val="Normal"/>
              <w:spacing w:lineRule="auto" w:line="240" w:before="0" w:after="0"/>
              <w:ind w:firstLine="176"/>
              <w:contextualSpacing/>
              <w:rPr>
                <w:sz w:val="22"/>
                <w:szCs w:val="28"/>
              </w:rPr>
            </w:pPr>
            <w:r>
              <w:rPr>
                <w:rFonts w:eastAsia="Times New Roman" w:cs="Times New Roman"/>
                <w:sz w:val="22"/>
                <w:szCs w:val="28"/>
                <w:lang w:eastAsia="ru-RU"/>
              </w:rPr>
              <w:t>2022 год – 53,8;</w:t>
            </w:r>
          </w:p>
          <w:p>
            <w:pPr>
              <w:pStyle w:val="Normal"/>
              <w:spacing w:lineRule="auto" w:line="240" w:before="0" w:after="0"/>
              <w:ind w:firstLine="176"/>
              <w:contextualSpacing/>
              <w:rPr>
                <w:sz w:val="22"/>
                <w:szCs w:val="28"/>
              </w:rPr>
            </w:pPr>
            <w:r>
              <w:rPr>
                <w:rFonts w:eastAsia="Times New Roman" w:cs="Times New Roman"/>
                <w:sz w:val="22"/>
                <w:szCs w:val="28"/>
                <w:lang w:eastAsia="ru-RU"/>
              </w:rPr>
              <w:t>2023 год – 59,6;</w:t>
            </w:r>
          </w:p>
          <w:p>
            <w:pPr>
              <w:pStyle w:val="Normal"/>
              <w:spacing w:lineRule="auto" w:line="240" w:before="0" w:after="0"/>
              <w:ind w:firstLine="176"/>
              <w:contextualSpacing/>
              <w:rPr>
                <w:sz w:val="22"/>
                <w:szCs w:val="28"/>
              </w:rPr>
            </w:pPr>
            <w:r>
              <w:rPr>
                <w:rFonts w:eastAsia="Times New Roman" w:cs="Times New Roman"/>
                <w:sz w:val="22"/>
                <w:szCs w:val="28"/>
                <w:lang w:eastAsia="ru-RU"/>
              </w:rPr>
              <w:t>2024 год – 66,2;</w:t>
            </w:r>
          </w:p>
          <w:p>
            <w:pPr>
              <w:pStyle w:val="Normal"/>
              <w:spacing w:lineRule="auto" w:line="240" w:before="0" w:after="0"/>
              <w:ind w:firstLine="176"/>
              <w:contextualSpacing/>
              <w:rPr>
                <w:sz w:val="22"/>
              </w:rPr>
            </w:pPr>
            <w:r>
              <w:rPr>
                <w:rFonts w:eastAsia="Times New Roman" w:cs="Times New Roman"/>
                <w:sz w:val="22"/>
                <w:szCs w:val="28"/>
                <w:lang w:eastAsia="ru-RU"/>
              </w:rPr>
              <w:t>2025 год – 68,9</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здравоохранения Краснодарского края</w:t>
            </w:r>
          </w:p>
        </w:tc>
      </w:tr>
      <w:tr>
        <w:trPr>
          <w:trHeight w:val="68" w:hRule="atLeast"/>
        </w:trPr>
        <w:tc>
          <w:tcPr>
            <w:tcW w:w="14595" w:type="dxa"/>
            <w:gridSpan w:val="5"/>
            <w:tcBorders/>
            <w:shd w:fill="auto" w:val="clear"/>
          </w:tcPr>
          <w:p>
            <w:pPr>
              <w:pStyle w:val="Normal"/>
              <w:widowControl w:val="false"/>
              <w:numPr>
                <w:ilvl w:val="0"/>
                <w:numId w:val="3"/>
              </w:numPr>
              <w:tabs>
                <w:tab w:val="clear" w:pos="708"/>
                <w:tab w:val="left" w:pos="1365" w:leader="none"/>
              </w:tabs>
              <w:spacing w:lineRule="auto" w:line="240" w:before="0" w:after="0"/>
              <w:contextualSpacing/>
              <w:jc w:val="center"/>
              <w:rPr>
                <w:sz w:val="22"/>
              </w:rPr>
            </w:pPr>
            <w:r>
              <w:rPr>
                <w:rFonts w:eastAsia="Times New Roman" w:cs="Times New Roman"/>
                <w:sz w:val="22"/>
                <w:szCs w:val="20"/>
                <w:lang w:eastAsia="ru-RU"/>
              </w:rPr>
              <w:t>Рынок социальных услуг</w:t>
            </w:r>
          </w:p>
        </w:tc>
      </w:tr>
      <w:tr>
        <w:trPr/>
        <w:tc>
          <w:tcPr>
            <w:tcW w:w="703" w:type="dxa"/>
            <w:tcBorders/>
            <w:shd w:fill="auto" w:val="clear"/>
          </w:tcPr>
          <w:p>
            <w:pPr>
              <w:pStyle w:val="Normal"/>
              <w:widowControl w:val="false"/>
              <w:tabs>
                <w:tab w:val="clear" w:pos="708"/>
                <w:tab w:val="left" w:pos="1365" w:leader="none"/>
              </w:tabs>
              <w:spacing w:lineRule="auto" w:line="240" w:before="0" w:after="0"/>
              <w:jc w:val="center"/>
              <w:rPr>
                <w:sz w:val="22"/>
              </w:rPr>
            </w:pPr>
            <w:r>
              <w:rPr>
                <w:rFonts w:eastAsia="Times New Roman" w:cs="Times New Roman"/>
                <w:sz w:val="22"/>
                <w:szCs w:val="20"/>
                <w:lang w:eastAsia="ru-RU"/>
              </w:rPr>
              <w:t>6.1</w:t>
            </w:r>
          </w:p>
        </w:tc>
        <w:tc>
          <w:tcPr>
            <w:tcW w:w="4252" w:type="dxa"/>
            <w:tcBorders/>
            <w:shd w:fill="auto" w:val="clear"/>
          </w:tcPr>
          <w:p>
            <w:pPr>
              <w:pStyle w:val="Normal"/>
              <w:spacing w:lineRule="auto" w:line="240" w:before="0" w:after="0"/>
              <w:contextualSpacing/>
              <w:rPr>
                <w:sz w:val="22"/>
              </w:rPr>
            </w:pPr>
            <w:r>
              <w:rPr>
                <w:rFonts w:eastAsia="Times New Roman" w:cs="Times New Roman"/>
                <w:sz w:val="22"/>
                <w:szCs w:val="20"/>
                <w:lang w:eastAsia="ru-RU"/>
              </w:rPr>
              <w:t xml:space="preserve">Создание условий для привлечения негосударственных организаций в сферу оказания социальных услуг; формирование реестра поставщиков </w:t>
            </w:r>
          </w:p>
        </w:tc>
        <w:tc>
          <w:tcPr>
            <w:tcW w:w="4109" w:type="dxa"/>
            <w:tcBorders/>
            <w:shd w:fill="auto" w:val="clear"/>
          </w:tcPr>
          <w:p>
            <w:pPr>
              <w:pStyle w:val="Normal"/>
              <w:widowControl w:val="false"/>
              <w:tabs>
                <w:tab w:val="clear" w:pos="708"/>
                <w:tab w:val="left" w:pos="1365" w:leader="none"/>
              </w:tabs>
              <w:spacing w:lineRule="auto" w:line="240" w:before="0" w:after="0"/>
              <w:contextualSpacing/>
              <w:rPr>
                <w:sz w:val="22"/>
              </w:rPr>
            </w:pPr>
            <w:r>
              <w:rPr>
                <w:rFonts w:eastAsia="Times New Roman" w:cs="Times New Roman"/>
                <w:sz w:val="22"/>
                <w:szCs w:val="20"/>
                <w:lang w:eastAsia="ru-RU"/>
              </w:rPr>
              <w:t xml:space="preserve">государственная программа Краснодарского края «Социальная поддержка граждан», утвержденная постановлением главы администрации (губернатора) Краснодарского края от 5 октября 2015 г. № 938  </w:t>
            </w:r>
          </w:p>
        </w:tc>
        <w:tc>
          <w:tcPr>
            <w:tcW w:w="3686" w:type="dxa"/>
            <w:tcBorders/>
            <w:shd w:fill="auto" w:val="clear"/>
          </w:tcPr>
          <w:p>
            <w:pPr>
              <w:pStyle w:val="Normal"/>
              <w:widowControl w:val="false"/>
              <w:tabs>
                <w:tab w:val="clear" w:pos="708"/>
                <w:tab w:val="left" w:pos="1365" w:leader="none"/>
              </w:tabs>
              <w:spacing w:lineRule="auto" w:line="240" w:before="0" w:after="0"/>
              <w:contextualSpacing/>
              <w:rPr>
                <w:sz w:val="22"/>
              </w:rPr>
            </w:pPr>
            <w:r>
              <w:rPr>
                <w:rFonts w:eastAsia="Times New Roman" w:cs="Times New Roman"/>
                <w:sz w:val="22"/>
                <w:szCs w:val="20"/>
                <w:lang w:eastAsia="ru-RU"/>
              </w:rPr>
              <w:t>доля негосударственных организаций социального обслуживания, предоставляющих социальные услуги, процентов</w:t>
            </w:r>
          </w:p>
        </w:tc>
        <w:tc>
          <w:tcPr>
            <w:tcW w:w="1845" w:type="dxa"/>
            <w:tcBorders/>
            <w:shd w:fill="auto" w:val="clear"/>
          </w:tcPr>
          <w:p>
            <w:pPr>
              <w:pStyle w:val="Normal"/>
              <w:widowControl w:val="false"/>
              <w:tabs>
                <w:tab w:val="clear" w:pos="708"/>
                <w:tab w:val="left" w:pos="1365" w:leader="none"/>
              </w:tabs>
              <w:spacing w:lineRule="auto" w:line="240" w:before="0" w:after="0"/>
              <w:contextualSpacing/>
              <w:rPr>
                <w:sz w:val="22"/>
              </w:rPr>
            </w:pPr>
            <w:r>
              <w:rPr>
                <w:rFonts w:eastAsia="Times New Roman" w:cs="Times New Roman"/>
                <w:sz w:val="22"/>
                <w:szCs w:val="20"/>
                <w:lang w:eastAsia="ru-RU"/>
              </w:rPr>
              <w:t>министерство труда и социального развития Краснодарского края</w:t>
            </w:r>
          </w:p>
          <w:p>
            <w:pPr>
              <w:pStyle w:val="Normal"/>
              <w:widowControl w:val="false"/>
              <w:tabs>
                <w:tab w:val="clear" w:pos="708"/>
                <w:tab w:val="left" w:pos="1365" w:leader="none"/>
              </w:tabs>
              <w:spacing w:lineRule="auto" w:line="240" w:before="0" w:after="0"/>
              <w:contextualSpacing/>
              <w:rPr>
                <w:rFonts w:ascii="Times New Roman" w:hAnsi="Times New Roman" w:eastAsia="Times New Roman" w:cs="Times New Roman"/>
                <w:sz w:val="22"/>
                <w:szCs w:val="20"/>
                <w:lang w:eastAsia="ru-RU"/>
              </w:rPr>
            </w:pPr>
            <w:r>
              <w:rPr>
                <w:rFonts w:eastAsia="Times New Roman" w:cs="Times New Roman"/>
                <w:sz w:val="22"/>
                <w:szCs w:val="20"/>
                <w:lang w:eastAsia="ru-RU"/>
              </w:rPr>
            </w:r>
          </w:p>
        </w:tc>
      </w:tr>
      <w:tr>
        <w:trPr>
          <w:trHeight w:val="68" w:hRule="atLeast"/>
        </w:trPr>
        <w:tc>
          <w:tcPr>
            <w:tcW w:w="703" w:type="dxa"/>
            <w:tcBorders/>
            <w:shd w:fill="auto" w:val="clear"/>
          </w:tcPr>
          <w:p>
            <w:pPr>
              <w:pStyle w:val="Normal"/>
              <w:widowControl w:val="false"/>
              <w:tabs>
                <w:tab w:val="clear" w:pos="708"/>
                <w:tab w:val="left" w:pos="1365" w:leader="none"/>
              </w:tabs>
              <w:spacing w:lineRule="auto" w:line="240" w:before="0" w:after="0"/>
              <w:jc w:val="center"/>
              <w:rPr>
                <w:sz w:val="22"/>
              </w:rPr>
            </w:pPr>
            <w:r>
              <w:rPr>
                <w:rFonts w:eastAsia="Times New Roman" w:cs="Times New Roman"/>
                <w:sz w:val="22"/>
                <w:szCs w:val="20"/>
                <w:lang w:eastAsia="ru-RU"/>
              </w:rPr>
              <w:t>6.2</w:t>
            </w:r>
          </w:p>
        </w:tc>
        <w:tc>
          <w:tcPr>
            <w:tcW w:w="4252" w:type="dxa"/>
            <w:tcBorders/>
            <w:shd w:fill="auto" w:val="clear"/>
          </w:tcPr>
          <w:p>
            <w:pPr>
              <w:pStyle w:val="Normal"/>
              <w:widowControl w:val="false"/>
              <w:tabs>
                <w:tab w:val="clear" w:pos="708"/>
                <w:tab w:val="left" w:pos="1365" w:leader="none"/>
              </w:tabs>
              <w:spacing w:lineRule="auto" w:line="240" w:before="0" w:after="0"/>
              <w:contextualSpacing/>
              <w:rPr>
                <w:sz w:val="22"/>
              </w:rPr>
            </w:pPr>
            <w:r>
              <w:rPr>
                <w:rFonts w:eastAsia="Times New Roman" w:cs="Times New Roman"/>
                <w:sz w:val="22"/>
                <w:szCs w:val="20"/>
                <w:lang w:eastAsia="ru-RU"/>
              </w:rPr>
              <w:t>Мониторинг предоставления социальных услуг в сфере социального обслуживания населения, в том числе негосударственными поставщиками социальных услуг</w:t>
            </w:r>
          </w:p>
        </w:tc>
        <w:tc>
          <w:tcPr>
            <w:tcW w:w="4109" w:type="dxa"/>
            <w:vMerge w:val="restart"/>
            <w:tcBorders/>
            <w:shd w:fill="auto" w:val="clear"/>
          </w:tcPr>
          <w:p>
            <w:pPr>
              <w:pStyle w:val="Normal"/>
              <w:widowControl w:val="false"/>
              <w:tabs>
                <w:tab w:val="clear" w:pos="708"/>
                <w:tab w:val="left" w:pos="1365" w:leader="none"/>
              </w:tabs>
              <w:spacing w:lineRule="auto" w:line="240" w:before="0" w:after="0"/>
              <w:contextualSpacing/>
              <w:rPr>
                <w:sz w:val="22"/>
              </w:rPr>
            </w:pPr>
            <w:r>
              <w:rPr>
                <w:rFonts w:eastAsia="Times New Roman" w:cs="Times New Roman"/>
                <w:sz w:val="22"/>
                <w:szCs w:val="20"/>
                <w:lang w:eastAsia="ru-RU"/>
              </w:rPr>
              <w:t>федеральный проект «Разработка и реализация программы системной поддержки и повышения качества жизни граждан старшего поколения «Старшее поколение», утвержденный президиумом при Президенте Российской Федерации по стратегическому развитию и национальным проектам (протокол от 24 декабря 2018 г. № 16),</w:t>
            </w:r>
          </w:p>
          <w:p>
            <w:pPr>
              <w:pStyle w:val="Normal"/>
              <w:widowControl w:val="false"/>
              <w:tabs>
                <w:tab w:val="clear" w:pos="708"/>
                <w:tab w:val="left" w:pos="1365" w:leader="none"/>
              </w:tabs>
              <w:spacing w:lineRule="auto" w:line="240" w:before="0" w:after="0"/>
              <w:contextualSpacing/>
              <w:rPr>
                <w:sz w:val="22"/>
              </w:rPr>
            </w:pPr>
            <w:r>
              <w:rPr>
                <w:rFonts w:eastAsia="Times New Roman" w:cs="Times New Roman"/>
                <w:sz w:val="22"/>
                <w:szCs w:val="20"/>
                <w:lang w:eastAsia="ru-RU"/>
              </w:rP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3686" w:type="dxa"/>
            <w:vMerge w:val="restart"/>
            <w:tcBorders/>
            <w:shd w:fill="auto" w:val="clear"/>
          </w:tcPr>
          <w:p>
            <w:pPr>
              <w:pStyle w:val="Normal"/>
              <w:widowControl w:val="false"/>
              <w:tabs>
                <w:tab w:val="clear" w:pos="708"/>
                <w:tab w:val="left" w:pos="1365" w:leader="none"/>
              </w:tabs>
              <w:spacing w:lineRule="auto" w:line="240" w:before="0" w:after="0"/>
              <w:contextualSpacing/>
              <w:rPr>
                <w:sz w:val="22"/>
              </w:rPr>
            </w:pPr>
            <w:r>
              <w:rPr>
                <w:rFonts w:eastAsia="Times New Roman" w:cs="Times New Roman"/>
                <w:sz w:val="22"/>
                <w:szCs w:val="20"/>
                <w:lang w:eastAsia="ru-RU"/>
              </w:rPr>
              <w:t>увеличение доли негосударственных организаций социального обслуживания, оказывающих социальные услуги, от общего количества организаций всех форм собственности, включенных в реестр поставщиков социальных услуг Краснодарского края, процентов</w:t>
            </w:r>
          </w:p>
        </w:tc>
        <w:tc>
          <w:tcPr>
            <w:tcW w:w="1845" w:type="dxa"/>
            <w:vMerge w:val="restart"/>
            <w:tcBorders/>
            <w:shd w:fill="auto" w:val="clear"/>
          </w:tcPr>
          <w:p>
            <w:pPr>
              <w:pStyle w:val="Normal"/>
              <w:widowControl w:val="false"/>
              <w:tabs>
                <w:tab w:val="clear" w:pos="708"/>
                <w:tab w:val="left" w:pos="1365" w:leader="none"/>
              </w:tabs>
              <w:spacing w:lineRule="auto" w:line="240" w:before="0" w:after="0"/>
              <w:contextualSpacing/>
              <w:rPr>
                <w:sz w:val="22"/>
              </w:rPr>
            </w:pPr>
            <w:r>
              <w:rPr>
                <w:rFonts w:eastAsia="Times New Roman" w:cs="Times New Roman"/>
                <w:sz w:val="22"/>
                <w:szCs w:val="20"/>
                <w:lang w:eastAsia="ru-RU"/>
              </w:rPr>
              <w:t>министерство труда и социального развития Краснодарского края</w:t>
            </w:r>
          </w:p>
        </w:tc>
      </w:tr>
      <w:tr>
        <w:trPr>
          <w:trHeight w:val="2246" w:hRule="atLeast"/>
        </w:trPr>
        <w:tc>
          <w:tcPr>
            <w:tcW w:w="703" w:type="dxa"/>
            <w:tcBorders/>
            <w:shd w:fill="auto" w:val="clear"/>
          </w:tcPr>
          <w:p>
            <w:pPr>
              <w:pStyle w:val="Normal"/>
              <w:widowControl w:val="false"/>
              <w:tabs>
                <w:tab w:val="clear" w:pos="708"/>
                <w:tab w:val="left" w:pos="1365" w:leader="none"/>
              </w:tabs>
              <w:spacing w:lineRule="auto" w:line="240" w:before="0" w:after="0"/>
              <w:jc w:val="center"/>
              <w:rPr>
                <w:sz w:val="22"/>
              </w:rPr>
            </w:pPr>
            <w:r>
              <w:rPr>
                <w:rFonts w:eastAsia="Times New Roman" w:cs="Times New Roman"/>
                <w:sz w:val="22"/>
                <w:szCs w:val="20"/>
                <w:lang w:eastAsia="ru-RU"/>
              </w:rPr>
              <w:t>6.3</w:t>
            </w:r>
          </w:p>
        </w:tc>
        <w:tc>
          <w:tcPr>
            <w:tcW w:w="4252" w:type="dxa"/>
            <w:tcBorders/>
            <w:shd w:fill="auto" w:val="clear"/>
          </w:tcPr>
          <w:p>
            <w:pPr>
              <w:pStyle w:val="Normal"/>
              <w:widowControl w:val="false"/>
              <w:tabs>
                <w:tab w:val="clear" w:pos="708"/>
                <w:tab w:val="left" w:pos="1365" w:leader="none"/>
              </w:tabs>
              <w:spacing w:lineRule="auto" w:line="240" w:before="0" w:after="0"/>
              <w:contextualSpacing/>
              <w:jc w:val="left"/>
              <w:rPr>
                <w:sz w:val="22"/>
              </w:rPr>
            </w:pPr>
            <w:r>
              <w:rPr>
                <w:rFonts w:eastAsia="Times New Roman" w:cs="Times New Roman"/>
                <w:sz w:val="22"/>
                <w:szCs w:val="20"/>
                <w:lang w:eastAsia="ru-RU"/>
              </w:rPr>
              <w:t>Информирование негосударственных поставщиков социальных услуг о порядке оказания социальных услуг, ведения реестра поставщиков социальных услуг Краснодарского края, требованиях, предъявляемых к поставщикам социальных услуг и мерах поддержки</w:t>
            </w:r>
          </w:p>
        </w:tc>
        <w:tc>
          <w:tcPr>
            <w:tcW w:w="4109" w:type="dxa"/>
            <w:vMerge w:val="continue"/>
            <w:tcBorders/>
            <w:shd w:fill="auto" w:val="clear"/>
          </w:tcPr>
          <w:p>
            <w:pPr>
              <w:pStyle w:val="Normal"/>
              <w:widowControl w:val="false"/>
              <w:tabs>
                <w:tab w:val="clear" w:pos="708"/>
                <w:tab w:val="left" w:pos="1365" w:leader="none"/>
              </w:tabs>
              <w:spacing w:lineRule="auto" w:line="240" w:before="0" w:after="0"/>
              <w:contextualSpacing/>
              <w:jc w:val="left"/>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3686" w:type="dxa"/>
            <w:vMerge w:val="continue"/>
            <w:tcBorders/>
            <w:shd w:fill="auto" w:val="clear"/>
          </w:tcPr>
          <w:p>
            <w:pPr>
              <w:pStyle w:val="Normal"/>
              <w:widowControl w:val="false"/>
              <w:tabs>
                <w:tab w:val="clear" w:pos="708"/>
                <w:tab w:val="left" w:pos="1365" w:leader="none"/>
              </w:tabs>
              <w:spacing w:lineRule="auto" w:line="240" w:before="0" w:after="0"/>
              <w:contextualSpacing/>
              <w:jc w:val="left"/>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1845" w:type="dxa"/>
            <w:vMerge w:val="continue"/>
            <w:tcBorders/>
            <w:shd w:fill="auto" w:val="clear"/>
          </w:tcPr>
          <w:p>
            <w:pPr>
              <w:pStyle w:val="Normal"/>
              <w:widowControl w:val="false"/>
              <w:tabs>
                <w:tab w:val="clear" w:pos="708"/>
                <w:tab w:val="left" w:pos="1365" w:leader="none"/>
              </w:tabs>
              <w:spacing w:lineRule="auto" w:line="240" w:before="0" w:after="0"/>
              <w:contextualSpacing/>
              <w:jc w:val="left"/>
              <w:rPr>
                <w:rFonts w:ascii="Times New Roman" w:hAnsi="Times New Roman" w:eastAsia="Times New Roman" w:cs="Times New Roman"/>
                <w:sz w:val="22"/>
                <w:szCs w:val="20"/>
                <w:lang w:eastAsia="ru-RU"/>
              </w:rPr>
            </w:pPr>
            <w:r>
              <w:rPr>
                <w:rFonts w:eastAsia="Times New Roman" w:cs="Times New Roman"/>
                <w:sz w:val="22"/>
                <w:szCs w:val="20"/>
                <w:lang w:eastAsia="ru-RU"/>
              </w:rPr>
            </w:r>
          </w:p>
        </w:tc>
      </w:tr>
      <w:tr>
        <w:trPr>
          <w:trHeight w:val="2246"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6.4</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Предоставление субсидий социально ориентированным общественным объединениям в области культуры и искусства в целях осуществления финансовой поддержки их деятельности в области культуры и искусства</w:t>
            </w:r>
          </w:p>
          <w:p>
            <w:pPr>
              <w:pStyle w:val="Normal"/>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«Развитие культуры», утвержденная постановлением главы администрации (губернатора) Краснодарского края от 22 октября 2015 г. № 986 </w:t>
            </w:r>
          </w:p>
          <w:p>
            <w:pPr>
              <w:pStyle w:val="Normal"/>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количество социально ориентированных объединений, получивших финансовую поддержку</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культуры Краснодарского края</w:t>
            </w:r>
          </w:p>
        </w:tc>
      </w:tr>
      <w:tr>
        <w:trPr>
          <w:trHeight w:val="68" w:hRule="atLeast"/>
        </w:trPr>
        <w:tc>
          <w:tcPr>
            <w:tcW w:w="14595" w:type="dxa"/>
            <w:gridSpan w:val="5"/>
            <w:tcBorders/>
            <w:shd w:fill="auto" w:val="clear"/>
          </w:tcPr>
          <w:p>
            <w:pPr>
              <w:pStyle w:val="Normal"/>
              <w:numPr>
                <w:ilvl w:val="0"/>
                <w:numId w:val="3"/>
              </w:numPr>
              <w:spacing w:lineRule="auto" w:line="240" w:before="0" w:after="0"/>
              <w:contextualSpacing/>
              <w:jc w:val="center"/>
              <w:rPr>
                <w:sz w:val="22"/>
              </w:rPr>
            </w:pPr>
            <w:r>
              <w:rPr>
                <w:rFonts w:eastAsia="Times New Roman" w:cs="Times New Roman"/>
                <w:sz w:val="22"/>
                <w:szCs w:val="20"/>
                <w:lang w:eastAsia="ru-RU"/>
              </w:rPr>
              <w:t>Рынок выполнения работ по содержанию и текущему ремонту общего имущества собственников помещений в многоквартирном доме</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7.1</w:t>
            </w:r>
          </w:p>
        </w:tc>
        <w:tc>
          <w:tcPr>
            <w:tcW w:w="4252"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 xml:space="preserve">Повышение доступности жилья и качества жилищного обеспечения населения </w:t>
            </w:r>
          </w:p>
        </w:tc>
        <w:tc>
          <w:tcPr>
            <w:tcW w:w="4109"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сокращение количества жилых помещений в аварийных многоквартирных домах</w:t>
            </w:r>
          </w:p>
        </w:tc>
        <w:tc>
          <w:tcPr>
            <w:tcW w:w="1845"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министерство топливно-энергетического комплекса и жилищно-коммунального хозяйства Краснодарского края,</w:t>
            </w:r>
          </w:p>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государственная жилищная инспекция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7.2</w:t>
            </w:r>
          </w:p>
        </w:tc>
        <w:tc>
          <w:tcPr>
            <w:tcW w:w="4252"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 xml:space="preserve">Обеспечение безопасного функционирования жилищно-коммунального хозяйства </w:t>
            </w:r>
          </w:p>
        </w:tc>
        <w:tc>
          <w:tcPr>
            <w:tcW w:w="4109"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сокращение количества чрезвычайных ситуаций природного и техногенного характера на объектах жилищно-коммунального характера</w:t>
            </w:r>
          </w:p>
        </w:tc>
        <w:tc>
          <w:tcPr>
            <w:tcW w:w="1845"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министерство топливно-энергетического комплекса и жилищно-коммунального хозяйства Краснодарского края,</w:t>
            </w:r>
          </w:p>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 xml:space="preserve">государственная жилищная инспекция Краснодарского края </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7.3</w:t>
            </w:r>
          </w:p>
        </w:tc>
        <w:tc>
          <w:tcPr>
            <w:tcW w:w="4252"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Повышение энергоэффективности функционирования коммунальной инфраструктуры</w:t>
            </w:r>
          </w:p>
        </w:tc>
        <w:tc>
          <w:tcPr>
            <w:tcW w:w="4109"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повышение качества коммунальных услуг; увеличение степени охвата потребителей приборами учета</w:t>
            </w:r>
          </w:p>
        </w:tc>
        <w:tc>
          <w:tcPr>
            <w:tcW w:w="1845"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министерство топливно-энергетического комплекса и жилищно-коммунального хозяйства Краснодарского края,</w:t>
            </w:r>
          </w:p>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государственная жилищная инспекция Краснодарского края</w:t>
            </w:r>
          </w:p>
        </w:tc>
      </w:tr>
      <w:tr>
        <w:trPr>
          <w:trHeight w:val="78" w:hRule="atLeast"/>
        </w:trPr>
        <w:tc>
          <w:tcPr>
            <w:tcW w:w="14595" w:type="dxa"/>
            <w:gridSpan w:val="5"/>
            <w:tcBorders/>
            <w:shd w:fill="auto" w:val="clear"/>
          </w:tcPr>
          <w:p>
            <w:pPr>
              <w:pStyle w:val="Normal"/>
              <w:numPr>
                <w:ilvl w:val="0"/>
                <w:numId w:val="3"/>
              </w:numPr>
              <w:spacing w:lineRule="auto" w:line="240" w:before="0" w:after="0"/>
              <w:ind w:left="313" w:hanging="284"/>
              <w:contextualSpacing/>
              <w:jc w:val="center"/>
              <w:rPr>
                <w:sz w:val="22"/>
              </w:rPr>
            </w:pPr>
            <w:r>
              <w:rPr>
                <w:rFonts w:eastAsia="Times New Roman" w:cs="Times New Roman"/>
                <w:sz w:val="22"/>
                <w:szCs w:val="20"/>
                <w:lang w:eastAsia="ru-RU"/>
              </w:rPr>
              <w:t>Рынки агропромышленного комплекса (рынок племенного животноводства, рынок семеноводства, рынок вылова водных биоресурсов,                        рынок переработки водных биоресурсов, рынок товарной аквакультуры, рынок реализации сельскохозяйственной продукции,                                           рынок виноградарства и виноделия)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8.1</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Государственная поддержка сельскохозяйственных товаропроизводителей, направленная на поддержку племенного животноводства</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 </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численность племенного маточного поголовья сельскохозяйственных животных у получателей субсидии </w:t>
              <w:br/>
              <w:t xml:space="preserve">(в пересчете на условные головы), </w:t>
              <w:br/>
              <w:t>к 2025 году 21,7 тыс. голов</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8.2</w:t>
            </w:r>
          </w:p>
        </w:tc>
        <w:tc>
          <w:tcPr>
            <w:tcW w:w="4252" w:type="dxa"/>
            <w:tcBorders/>
            <w:shd w:fill="auto" w:val="clear"/>
          </w:tcPr>
          <w:p>
            <w:pPr>
              <w:pStyle w:val="Normal"/>
              <w:spacing w:lineRule="auto" w:line="240" w:before="0" w:after="0"/>
              <w:rPr>
                <w:sz w:val="22"/>
                <w:szCs w:val="22"/>
              </w:rPr>
            </w:pPr>
            <w:r>
              <w:rPr>
                <w:rFonts w:eastAsia="Times New Roman" w:cs="Times New Roman"/>
                <w:sz w:val="22"/>
                <w:szCs w:val="22"/>
                <w:lang w:eastAsia="ru-RU"/>
              </w:rPr>
              <w:t xml:space="preserve">Предоставление субсидии сельско-хозяйственным товаропроизводителям на возмещение  части затрат на проведение комплекса агротехнологических работ в области развития семеноводства сельскохозяйственных культур на посевных площадях, занятых  оригинальным и элитным семенным картофелем, и (или) семенными посевами кукурузы для производства семян </w:t>
              <w:br/>
              <w:t xml:space="preserve">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w:t>
              <w:br/>
              <w:t>гибридов и гибридов первого поколения F1 и (или) семенными посевами овощных культур открытого грунта</w:t>
            </w:r>
          </w:p>
        </w:tc>
        <w:tc>
          <w:tcPr>
            <w:tcW w:w="4109" w:type="dxa"/>
            <w:tcBorders/>
            <w:shd w:fill="auto" w:val="clear"/>
          </w:tcPr>
          <w:p>
            <w:pPr>
              <w:pStyle w:val="Normal"/>
              <w:spacing w:lineRule="auto" w:line="240" w:before="0" w:after="0"/>
              <w:rPr>
                <w:sz w:val="22"/>
                <w:szCs w:val="22"/>
              </w:rPr>
            </w:pPr>
            <w:r>
              <w:rPr>
                <w:rFonts w:eastAsia="Times New Roman" w:cs="Times New Roman"/>
                <w:sz w:val="22"/>
                <w:szCs w:val="22"/>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 главы администрации (губернатора) Краснодарского края от 5 октября 2015 г. № 944</w:t>
            </w:r>
          </w:p>
        </w:tc>
        <w:tc>
          <w:tcPr>
            <w:tcW w:w="3686" w:type="dxa"/>
            <w:tcBorders/>
            <w:shd w:fill="auto" w:val="clear"/>
          </w:tcPr>
          <w:p>
            <w:pPr>
              <w:pStyle w:val="Normal"/>
              <w:spacing w:lineRule="auto" w:line="240" w:before="0" w:after="0"/>
              <w:rPr>
                <w:sz w:val="22"/>
                <w:szCs w:val="22"/>
              </w:rPr>
            </w:pPr>
            <w:r>
              <w:rPr>
                <w:rFonts w:eastAsia="Times New Roman" w:cs="Times New Roman"/>
                <w:sz w:val="22"/>
                <w:szCs w:val="22"/>
                <w:lang w:eastAsia="ru-RU"/>
              </w:rPr>
              <w:t>объем производства получателями субсидий семенного картофеля, семян овощных культур открытого грунта, семян кукурузы, семян подсолнечника и семян сахарной свеклы по состоянию на конец текущего года - не менее 101,5 % к уровню отчетного финансового года</w:t>
            </w:r>
          </w:p>
          <w:p>
            <w:pPr>
              <w:pStyle w:val="Normal"/>
              <w:spacing w:lineRule="auto" w:line="240" w:before="0" w:after="0"/>
              <w:rPr>
                <w:rFonts w:ascii="Times New Roman" w:hAnsi="Times New Roman" w:eastAsia="Times New Roman" w:cs="Times New Roman"/>
                <w:sz w:val="22"/>
                <w:szCs w:val="22"/>
                <w:lang w:eastAsia="ru-RU"/>
              </w:rPr>
            </w:pPr>
            <w:r>
              <w:rPr>
                <w:rFonts w:eastAsia="Times New Roman" w:cs="Times New Roman"/>
                <w:sz w:val="22"/>
                <w:szCs w:val="22"/>
                <w:lang w:eastAsia="ru-RU"/>
              </w:rPr>
            </w:r>
          </w:p>
        </w:tc>
        <w:tc>
          <w:tcPr>
            <w:tcW w:w="1845" w:type="dxa"/>
            <w:tcBorders/>
            <w:shd w:fill="auto" w:val="clear"/>
          </w:tcPr>
          <w:p>
            <w:pPr>
              <w:pStyle w:val="Normal"/>
              <w:spacing w:lineRule="auto" w:line="240" w:before="0" w:after="0"/>
              <w:rPr>
                <w:sz w:val="22"/>
                <w:szCs w:val="22"/>
              </w:rPr>
            </w:pPr>
            <w:r>
              <w:rPr>
                <w:rFonts w:eastAsia="Times New Roman" w:cs="Times New Roman"/>
                <w:sz w:val="22"/>
                <w:szCs w:val="22"/>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8.3</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Предоставление субсидий юридическим лицам и индивидуальным предпринимателям в целях возмещения части затрат на добычу (вылов) водных биоресурсов</w:t>
            </w:r>
          </w:p>
        </w:tc>
        <w:tc>
          <w:tcPr>
            <w:tcW w:w="4109"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объем добычи (вылова) мелкосельдевых видов водных биоресурсов получателями субсидии - не менее 100 % к уровню предшествующего года</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8.4</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Предоставление субсидий юридическим лицам и индивидуальным предпринимателям в целях возмещения части затрат на производство товарно-пищевой рыбной продукции</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объем производства товарно-пищевой рыбной продукции из водных биоресурсов получателями субсидии - не менее 100 % к уровню предшествующего года</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8.5</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Предоставление субсидий юридическим лицам и индивидуальным предпринимателям в целях возмещения части затрат на производство рыбопосадочного материала</w:t>
            </w:r>
          </w:p>
        </w:tc>
        <w:tc>
          <w:tcPr>
            <w:tcW w:w="4109"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общий объем реализации произведенного рыбопосадочного материала получателями субсидии - не менее 100 % к уровню отчетного финансового года</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8.6</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Предоставление субсидий юридическим лицам и индивидуальным предпринимателям в целях возмещения части затрат на производство товарной рыбы</w:t>
            </w:r>
          </w:p>
        </w:tc>
        <w:tc>
          <w:tcPr>
            <w:tcW w:w="4109"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общий объем реализации произведенной товарной рыбы получателями субсидии - не менее 100 % к уровню отчетного финансового года</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8.7</w:t>
            </w:r>
          </w:p>
        </w:tc>
        <w:tc>
          <w:tcPr>
            <w:tcW w:w="4252"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Предоставление грантов начинающим сельскохозяйственным потребительским кооперативам на развитие материально-технической базы, осуществляющим свою деятельность не более 12 месяцев с даты регистрации</w:t>
            </w:r>
          </w:p>
        </w:tc>
        <w:tc>
          <w:tcPr>
            <w:tcW w:w="4109" w:type="dxa"/>
            <w:tcBorders/>
            <w:shd w:fill="auto" w:val="clear"/>
          </w:tcPr>
          <w:p>
            <w:pPr>
              <w:pStyle w:val="ConsPlusNormal"/>
              <w:spacing w:lineRule="auto" w:line="240" w:before="0" w:after="0"/>
              <w:jc w:val="both"/>
              <w:rPr/>
            </w:pPr>
            <w:r>
              <w:rPr>
                <w:rFonts w:eastAsia="Times New Roman" w:cs="Times New Roman" w:ascii="Times New Roman" w:hAnsi="Times New Roman"/>
                <w:sz w:val="22"/>
                <w:szCs w:val="20"/>
                <w:lang w:eastAsia="ru-RU"/>
              </w:rPr>
              <w:t xml:space="preserve">государственная </w:t>
            </w:r>
            <w:hyperlink r:id="rId5">
              <w:r>
                <w:rPr>
                  <w:rStyle w:val="ListLabel11"/>
                  <w:rFonts w:eastAsia="Times New Roman" w:cs="Times New Roman" w:ascii="Times New Roman" w:hAnsi="Times New Roman"/>
                  <w:sz w:val="22"/>
                  <w:szCs w:val="20"/>
                  <w:lang w:eastAsia="ru-RU"/>
                </w:rPr>
                <w:t>программа</w:t>
              </w:r>
            </w:hyperlink>
            <w:r>
              <w:rPr>
                <w:rFonts w:eastAsia="Times New Roman" w:cs="Times New Roman" w:ascii="Times New Roman" w:hAnsi="Times New Roman"/>
                <w:sz w:val="22"/>
                <w:szCs w:val="20"/>
                <w:lang w:eastAsia="ru-RU"/>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развитие материально-технической базы – ежегодно 2 - 4 начинающих сельскохозяйственных потребительских кооперативов</w:t>
            </w:r>
          </w:p>
        </w:tc>
        <w:tc>
          <w:tcPr>
            <w:tcW w:w="1845" w:type="dxa"/>
            <w:tcBorders/>
            <w:shd w:fill="auto" w:val="clear"/>
          </w:tcPr>
          <w:p>
            <w:pPr>
              <w:pStyle w:val="Normal"/>
              <w:spacing w:lineRule="auto" w:line="240" w:before="0" w:after="0"/>
              <w:jc w:val="center"/>
              <w:rPr>
                <w:sz w:val="22"/>
                <w:szCs w:val="22"/>
              </w:rPr>
            </w:pPr>
            <w:r>
              <w:rPr>
                <w:rFonts w:eastAsia="Times New Roman" w:cs="Times New Roman"/>
                <w:sz w:val="22"/>
                <w:szCs w:val="22"/>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8.8</w:t>
            </w:r>
          </w:p>
        </w:tc>
        <w:tc>
          <w:tcPr>
            <w:tcW w:w="4252"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Предоставление субсидий сельскохозяйственным потребительским кооперативам на возмещение части затрат на развитие материально-технической базы в рамках регионального проекта Краснодарского края «Акселерация субъектов малого и среднего предпринимательства»</w:t>
            </w:r>
          </w:p>
        </w:tc>
        <w:tc>
          <w:tcPr>
            <w:tcW w:w="4109" w:type="dxa"/>
            <w:tcBorders/>
            <w:shd w:fill="auto" w:val="clear"/>
          </w:tcPr>
          <w:p>
            <w:pPr>
              <w:pStyle w:val="ConsPlusNormal"/>
              <w:spacing w:lineRule="auto" w:line="240" w:before="0" w:after="0"/>
              <w:jc w:val="both"/>
              <w:rPr/>
            </w:pPr>
            <w:r>
              <w:rPr>
                <w:rFonts w:eastAsia="Times New Roman" w:cs="Times New Roman" w:ascii="Times New Roman" w:hAnsi="Times New Roman"/>
                <w:sz w:val="22"/>
                <w:szCs w:val="20"/>
                <w:lang w:eastAsia="ru-RU"/>
              </w:rPr>
              <w:t xml:space="preserve">государственная </w:t>
            </w:r>
            <w:hyperlink r:id="rId6">
              <w:r>
                <w:rPr>
                  <w:rStyle w:val="ListLabel11"/>
                  <w:rFonts w:eastAsia="Times New Roman" w:cs="Times New Roman" w:ascii="Times New Roman" w:hAnsi="Times New Roman"/>
                  <w:sz w:val="22"/>
                  <w:szCs w:val="20"/>
                  <w:lang w:eastAsia="ru-RU"/>
                </w:rPr>
                <w:t>программа</w:t>
              </w:r>
            </w:hyperlink>
            <w:r>
              <w:rPr>
                <w:rFonts w:eastAsia="Times New Roman" w:cs="Times New Roman" w:ascii="Times New Roman" w:hAnsi="Times New Roman"/>
                <w:sz w:val="22"/>
                <w:szCs w:val="20"/>
                <w:lang w:eastAsia="ru-RU"/>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паспорт регионального проекта «Акселерация субъектов малого и среднего предпринимательства»</w:t>
            </w:r>
          </w:p>
        </w:tc>
        <w:tc>
          <w:tcPr>
            <w:tcW w:w="3686"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модернизация материально-технической базы – ежегодно 3 - 8 сельскохозяйственных потребительских кооператива, в зависимости от объемов финансирования</w:t>
            </w:r>
          </w:p>
        </w:tc>
        <w:tc>
          <w:tcPr>
            <w:tcW w:w="1845"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8.9</w:t>
            </w:r>
          </w:p>
        </w:tc>
        <w:tc>
          <w:tcPr>
            <w:tcW w:w="4252" w:type="dxa"/>
            <w:tcBorders/>
            <w:shd w:fill="auto" w:val="clear"/>
          </w:tcPr>
          <w:p>
            <w:pPr>
              <w:pStyle w:val="Normal"/>
              <w:spacing w:lineRule="auto" w:line="240" w:before="0" w:after="0"/>
              <w:rPr>
                <w:sz w:val="22"/>
                <w:szCs w:val="22"/>
              </w:rPr>
            </w:pPr>
            <w:r>
              <w:rPr>
                <w:rFonts w:eastAsia="Times New Roman" w:cs="Times New Roman"/>
                <w:sz w:val="22"/>
                <w:szCs w:val="22"/>
                <w:lang w:eastAsia="ru-RU"/>
              </w:rPr>
              <w:t>Предоставление грантов крестьянским (фермерским) хозяйствам и индивидуальным предпринимателям на реализацию «Агростартап»</w:t>
            </w:r>
          </w:p>
          <w:p>
            <w:pPr>
              <w:pStyle w:val="ConsPlusNormal"/>
              <w:spacing w:lineRule="auto" w:line="240" w:before="0" w:after="0"/>
              <w:jc w:val="both"/>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4109" w:type="dxa"/>
            <w:tcBorders/>
            <w:shd w:fill="auto" w:val="clear"/>
          </w:tcPr>
          <w:p>
            <w:pPr>
              <w:pStyle w:val="ConsPlusNormal"/>
              <w:spacing w:lineRule="auto" w:line="240" w:before="0" w:after="0"/>
              <w:jc w:val="both"/>
              <w:rPr/>
            </w:pPr>
            <w:r>
              <w:rPr>
                <w:rFonts w:eastAsia="Times New Roman" w:cs="Times New Roman" w:ascii="Times New Roman" w:hAnsi="Times New Roman"/>
                <w:sz w:val="22"/>
                <w:szCs w:val="20"/>
                <w:lang w:eastAsia="ru-RU"/>
              </w:rPr>
              <w:t xml:space="preserve">государственная </w:t>
            </w:r>
            <w:hyperlink r:id="rId7">
              <w:r>
                <w:rPr>
                  <w:rStyle w:val="ListLabel11"/>
                  <w:rFonts w:eastAsia="Times New Roman" w:cs="Times New Roman" w:ascii="Times New Roman" w:hAnsi="Times New Roman"/>
                  <w:sz w:val="22"/>
                  <w:szCs w:val="20"/>
                  <w:lang w:eastAsia="ru-RU"/>
                </w:rPr>
                <w:t>программа</w:t>
              </w:r>
            </w:hyperlink>
            <w:r>
              <w:rPr>
                <w:rFonts w:eastAsia="Times New Roman" w:cs="Times New Roman" w:ascii="Times New Roman" w:hAnsi="Times New Roman"/>
                <w:sz w:val="22"/>
                <w:szCs w:val="20"/>
                <w:lang w:eastAsia="ru-RU"/>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Borders/>
            <w:shd w:fill="auto" w:val="clear"/>
          </w:tcPr>
          <w:p>
            <w:pPr>
              <w:pStyle w:val="Normal"/>
              <w:spacing w:lineRule="auto" w:line="240" w:before="0" w:after="0"/>
              <w:rPr>
                <w:sz w:val="22"/>
                <w:szCs w:val="22"/>
              </w:rPr>
            </w:pPr>
            <w:r>
              <w:rPr>
                <w:rFonts w:eastAsia="Times New Roman" w:cs="Times New Roman"/>
                <w:sz w:val="22"/>
                <w:szCs w:val="22"/>
                <w:lang w:eastAsia="ru-RU"/>
              </w:rPr>
              <w:t>количество крестьянских (фермерских) хозяйств и индивидуальных предпринимателей, осуществляющих проекты создания и развития своих хозяйств с помощью грантовой поддержки, 6-8 получателей</w:t>
            </w:r>
          </w:p>
        </w:tc>
        <w:tc>
          <w:tcPr>
            <w:tcW w:w="1845"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8.10</w:t>
            </w:r>
          </w:p>
        </w:tc>
        <w:tc>
          <w:tcPr>
            <w:tcW w:w="4252" w:type="dxa"/>
            <w:tcBorders/>
            <w:shd w:fill="auto" w:val="clear"/>
          </w:tcPr>
          <w:p>
            <w:pPr>
              <w:pStyle w:val="Normal"/>
              <w:spacing w:lineRule="auto" w:line="240" w:before="0" w:after="0"/>
              <w:rPr>
                <w:sz w:val="22"/>
                <w:szCs w:val="22"/>
              </w:rPr>
            </w:pPr>
            <w:r>
              <w:rPr>
                <w:rFonts w:eastAsia="Times New Roman" w:cs="Times New Roman"/>
                <w:sz w:val="22"/>
                <w:szCs w:val="22"/>
                <w:lang w:eastAsia="ru-RU"/>
              </w:rPr>
              <w:t>Обеспечение выполнения функций казенного учреждения, подведомственного министерству сельского хозяйства и перерабатывающей промышленности Краснодарского края</w:t>
            </w:r>
          </w:p>
          <w:p>
            <w:pPr>
              <w:pStyle w:val="Normal"/>
              <w:spacing w:lineRule="auto" w:line="240" w:before="0" w:after="0"/>
              <w:rPr>
                <w:rFonts w:ascii="Times New Roman" w:hAnsi="Times New Roman" w:eastAsia="Times New Roman" w:cs="Times New Roman"/>
                <w:sz w:val="22"/>
                <w:szCs w:val="22"/>
                <w:lang w:eastAsia="ru-RU"/>
              </w:rPr>
            </w:pPr>
            <w:r>
              <w:rPr>
                <w:rFonts w:eastAsia="Times New Roman" w:cs="Times New Roman"/>
                <w:sz w:val="22"/>
                <w:szCs w:val="22"/>
                <w:lang w:eastAsia="ru-RU"/>
              </w:rPr>
            </w:r>
          </w:p>
        </w:tc>
        <w:tc>
          <w:tcPr>
            <w:tcW w:w="4109" w:type="dxa"/>
            <w:tcBorders/>
            <w:shd w:fill="auto" w:val="clear"/>
          </w:tcPr>
          <w:p>
            <w:pPr>
              <w:pStyle w:val="ConsPlusNormal"/>
              <w:spacing w:lineRule="auto" w:line="240" w:before="0" w:after="0"/>
              <w:jc w:val="both"/>
              <w:rPr/>
            </w:pPr>
            <w:r>
              <w:rPr>
                <w:rFonts w:eastAsia="Times New Roman" w:cs="Times New Roman" w:ascii="Times New Roman" w:hAnsi="Times New Roman"/>
                <w:sz w:val="22"/>
                <w:szCs w:val="20"/>
                <w:lang w:eastAsia="ru-RU"/>
              </w:rPr>
              <w:t xml:space="preserve">государственная </w:t>
            </w:r>
            <w:hyperlink r:id="rId8">
              <w:r>
                <w:rPr>
                  <w:rStyle w:val="ListLabel11"/>
                  <w:rFonts w:eastAsia="Times New Roman" w:cs="Times New Roman" w:ascii="Times New Roman" w:hAnsi="Times New Roman"/>
                  <w:sz w:val="22"/>
                  <w:szCs w:val="20"/>
                  <w:lang w:eastAsia="ru-RU"/>
                </w:rPr>
                <w:t>программа</w:t>
              </w:r>
            </w:hyperlink>
            <w:r>
              <w:rPr>
                <w:rFonts w:eastAsia="Times New Roman" w:cs="Times New Roman" w:ascii="Times New Roman" w:hAnsi="Times New Roman"/>
                <w:sz w:val="22"/>
                <w:szCs w:val="20"/>
                <w:lang w:eastAsia="ru-RU"/>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Borders/>
            <w:shd w:fill="auto" w:val="clear"/>
          </w:tcPr>
          <w:p>
            <w:pPr>
              <w:pStyle w:val="Normal"/>
              <w:spacing w:lineRule="auto" w:line="240" w:before="0" w:after="0"/>
              <w:rPr>
                <w:sz w:val="22"/>
                <w:szCs w:val="22"/>
              </w:rPr>
            </w:pPr>
            <w:r>
              <w:rPr>
                <w:rFonts w:eastAsia="Times New Roman" w:cs="Times New Roman"/>
                <w:sz w:val="22"/>
                <w:szCs w:val="22"/>
                <w:lang w:eastAsia="ru-RU"/>
              </w:rPr>
              <w:t>проведение 20 мероприятий, направленных на информирование населения о мерах государственной поддержки и развития сельскохозяйственной потребительской кооперации, ежегодно</w:t>
            </w:r>
          </w:p>
        </w:tc>
        <w:tc>
          <w:tcPr>
            <w:tcW w:w="1845"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8.11</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Привлечение к участию в международных и российских мероприятиях (выставках, форумах, презентациях) предприятий пищевой и перерабатывающей промышленности Краснодарского края</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паспорт регионального проекта «Экспорт продукции агропромышленного комплекса Краснодарского края»</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количество проведенных мероприятий</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8.12</w:t>
            </w:r>
          </w:p>
        </w:tc>
        <w:tc>
          <w:tcPr>
            <w:tcW w:w="4252"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 xml:space="preserve">Развитие и (или) поддержка экспорта предприятий региона с целью роста объема экспорта конкурентноспособной пищевой продукции </w:t>
            </w:r>
          </w:p>
          <w:p>
            <w:pPr>
              <w:pStyle w:val="Normal"/>
              <w:spacing w:lineRule="auto" w:line="240" w:before="0" w:after="0"/>
              <w:rPr>
                <w:rFonts w:ascii="Times New Roman" w:hAnsi="Times New Roman" w:eastAsia="Times New Roman" w:cs="Times New Roman"/>
                <w:spacing w:val="-2"/>
                <w:sz w:val="22"/>
                <w:szCs w:val="20"/>
                <w:lang w:eastAsia="ru-RU"/>
              </w:rPr>
            </w:pPr>
            <w:r>
              <w:rPr>
                <w:rFonts w:eastAsia="Times New Roman" w:cs="Times New Roman"/>
                <w:spacing w:val="-2"/>
                <w:sz w:val="22"/>
                <w:szCs w:val="20"/>
                <w:lang w:eastAsia="ru-RU"/>
              </w:rPr>
            </w:r>
          </w:p>
        </w:tc>
        <w:tc>
          <w:tcPr>
            <w:tcW w:w="4109"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паспорт регионального проекта «Экспорт продукции агропромышленного комплекса Краснодарского края»</w:t>
            </w:r>
          </w:p>
        </w:tc>
        <w:tc>
          <w:tcPr>
            <w:tcW w:w="3686" w:type="dxa"/>
            <w:tcBorders/>
            <w:shd w:fill="auto" w:val="clear"/>
          </w:tcPr>
          <w:p>
            <w:pPr>
              <w:pStyle w:val="Normal"/>
              <w:widowControl w:val="false"/>
              <w:spacing w:lineRule="auto" w:line="240" w:before="0" w:after="0"/>
              <w:rPr>
                <w:bCs/>
                <w:sz w:val="22"/>
              </w:rPr>
            </w:pPr>
            <w:r>
              <w:rPr>
                <w:rFonts w:eastAsia="Times New Roman" w:cs="Times New Roman"/>
                <w:bCs/>
                <w:sz w:val="22"/>
                <w:szCs w:val="20"/>
                <w:lang w:eastAsia="ru-RU"/>
              </w:rPr>
              <w:t>объем экспорта продукции агропромышленного комплекса (в сопоставимых ценах) к 2025 году 3,9180 миллиардов долларов</w:t>
            </w:r>
          </w:p>
          <w:p>
            <w:pPr>
              <w:pStyle w:val="Normal"/>
              <w:widowControl w:val="false"/>
              <w:spacing w:lineRule="auto" w:line="240" w:before="0" w:after="0"/>
              <w:rPr>
                <w:rFonts w:ascii="Times New Roman" w:hAnsi="Times New Roman" w:eastAsia="Times New Roman" w:cs="Times New Roman"/>
                <w:spacing w:val="-2"/>
                <w:sz w:val="22"/>
                <w:szCs w:val="20"/>
                <w:lang w:eastAsia="ru-RU"/>
              </w:rPr>
            </w:pPr>
            <w:r>
              <w:rPr>
                <w:rFonts w:eastAsia="Times New Roman" w:cs="Times New Roman"/>
                <w:spacing w:val="-2"/>
                <w:sz w:val="22"/>
                <w:szCs w:val="20"/>
                <w:lang w:eastAsia="ru-RU"/>
              </w:rPr>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8.13</w:t>
            </w:r>
          </w:p>
        </w:tc>
        <w:tc>
          <w:tcPr>
            <w:tcW w:w="4252" w:type="dxa"/>
            <w:tcBorders/>
            <w:shd w:fill="auto" w:val="clear"/>
          </w:tcPr>
          <w:p>
            <w:pPr>
              <w:pStyle w:val="Normal"/>
              <w:spacing w:lineRule="auto" w:line="240" w:before="0" w:after="0"/>
              <w:rPr>
                <w:sz w:val="22"/>
                <w:szCs w:val="24"/>
              </w:rPr>
            </w:pPr>
            <w:r>
              <w:rPr>
                <w:rFonts w:eastAsia="Times New Roman" w:cs="Times New Roman"/>
                <w:sz w:val="22"/>
                <w:szCs w:val="24"/>
                <w:lang w:eastAsia="ru-RU"/>
              </w:rPr>
              <w:t>Государственная поддержка виноградарских и винодельческих хозяйств, за исключением личных подсобных хозяйств, направленная на поддержку виноградарства</w:t>
            </w:r>
          </w:p>
        </w:tc>
        <w:tc>
          <w:tcPr>
            <w:tcW w:w="4109" w:type="dxa"/>
            <w:tcBorders/>
            <w:shd w:fill="auto" w:val="clear"/>
          </w:tcPr>
          <w:p>
            <w:pPr>
              <w:pStyle w:val="Normal"/>
              <w:spacing w:lineRule="auto" w:line="240" w:before="0" w:after="0"/>
              <w:rPr>
                <w:sz w:val="22"/>
                <w:szCs w:val="24"/>
              </w:rPr>
            </w:pPr>
            <w:r>
              <w:rPr>
                <w:rFonts w:eastAsia="Times New Roman" w:cs="Times New Roman"/>
                <w:sz w:val="22"/>
                <w:szCs w:val="24"/>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Borders/>
            <w:shd w:fill="auto" w:val="clear"/>
          </w:tcPr>
          <w:p>
            <w:pPr>
              <w:pStyle w:val="Normal"/>
              <w:spacing w:lineRule="auto" w:line="240" w:before="0" w:after="0"/>
              <w:rPr>
                <w:sz w:val="22"/>
                <w:szCs w:val="24"/>
              </w:rPr>
            </w:pPr>
            <w:r>
              <w:rPr>
                <w:rFonts w:eastAsia="Times New Roman" w:cs="Times New Roman"/>
                <w:sz w:val="22"/>
                <w:szCs w:val="24"/>
                <w:lang w:eastAsia="ru-RU"/>
              </w:rPr>
              <w:t>площадь закладки виноградников до 2025 года 1,8 тыс. га</w:t>
            </w:r>
          </w:p>
        </w:tc>
        <w:tc>
          <w:tcPr>
            <w:tcW w:w="1845" w:type="dxa"/>
            <w:tcBorders/>
            <w:shd w:fill="auto" w:val="clear"/>
          </w:tcPr>
          <w:p>
            <w:pPr>
              <w:pStyle w:val="Normal"/>
              <w:spacing w:lineRule="auto" w:line="240" w:before="0" w:after="0"/>
              <w:rPr>
                <w:sz w:val="22"/>
                <w:szCs w:val="24"/>
              </w:rPr>
            </w:pPr>
            <w:r>
              <w:rPr>
                <w:rFonts w:eastAsia="Times New Roman" w:cs="Times New Roman"/>
                <w:sz w:val="22"/>
                <w:szCs w:val="24"/>
                <w:lang w:eastAsia="ru-RU"/>
              </w:rPr>
              <w:t>министерство сельского хозяйства и перерабатывающей промышленности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8.14</w:t>
            </w:r>
          </w:p>
        </w:tc>
        <w:tc>
          <w:tcPr>
            <w:tcW w:w="4252" w:type="dxa"/>
            <w:tcBorders/>
            <w:shd w:fill="auto" w:val="clear"/>
          </w:tcPr>
          <w:p>
            <w:pPr>
              <w:pStyle w:val="Normal"/>
              <w:spacing w:lineRule="auto" w:line="240" w:before="0" w:after="0"/>
              <w:rPr>
                <w:sz w:val="22"/>
                <w:szCs w:val="24"/>
              </w:rPr>
            </w:pPr>
            <w:r>
              <w:rPr>
                <w:rFonts w:eastAsia="Times New Roman" w:cs="Times New Roman"/>
                <w:sz w:val="22"/>
                <w:szCs w:val="24"/>
                <w:lang w:eastAsia="ru-RU"/>
              </w:rPr>
              <w:t>Привлечение к участию в международных и российских мероприятиях (выставках, форумах, презентациях) предприятий винодельческой отрасли Краснодарского края</w:t>
            </w:r>
          </w:p>
        </w:tc>
        <w:tc>
          <w:tcPr>
            <w:tcW w:w="4109" w:type="dxa"/>
            <w:tcBorders/>
            <w:shd w:fill="auto" w:val="clear"/>
          </w:tcPr>
          <w:p>
            <w:pPr>
              <w:pStyle w:val="Normal"/>
              <w:spacing w:lineRule="auto" w:line="240" w:before="0" w:after="0"/>
              <w:rPr>
                <w:sz w:val="22"/>
                <w:szCs w:val="24"/>
              </w:rPr>
            </w:pPr>
            <w:r>
              <w:rPr>
                <w:rFonts w:eastAsia="Times New Roman" w:cs="Times New Roman"/>
                <w:sz w:val="22"/>
                <w:szCs w:val="24"/>
                <w:lang w:eastAsia="ru-RU"/>
              </w:rPr>
              <w:t>паспорт регионального проекта «Экспорт продукции агропромышленного комплекса Краснодарского края»</w:t>
            </w:r>
          </w:p>
        </w:tc>
        <w:tc>
          <w:tcPr>
            <w:tcW w:w="3686" w:type="dxa"/>
            <w:tcBorders/>
            <w:shd w:fill="auto" w:val="clear"/>
          </w:tcPr>
          <w:p>
            <w:pPr>
              <w:pStyle w:val="Normal"/>
              <w:spacing w:lineRule="auto" w:line="240" w:before="0" w:after="0"/>
              <w:ind w:right="-31" w:hanging="0"/>
              <w:rPr>
                <w:sz w:val="22"/>
                <w:szCs w:val="24"/>
              </w:rPr>
            </w:pPr>
            <w:r>
              <w:rPr>
                <w:rFonts w:eastAsia="Times New Roman" w:cs="Times New Roman"/>
                <w:sz w:val="22"/>
                <w:szCs w:val="20"/>
                <w:lang w:eastAsia="ru-RU"/>
              </w:rPr>
              <w:t>количество участников в совместных мероприятиях – ежегодно не менее 40 предприятий</w:t>
            </w:r>
          </w:p>
        </w:tc>
        <w:tc>
          <w:tcPr>
            <w:tcW w:w="1845" w:type="dxa"/>
            <w:tcBorders/>
            <w:shd w:fill="auto" w:val="clear"/>
          </w:tcPr>
          <w:p>
            <w:pPr>
              <w:pStyle w:val="Normal"/>
              <w:spacing w:lineRule="auto" w:line="240" w:before="0" w:after="0"/>
              <w:rPr>
                <w:sz w:val="22"/>
                <w:szCs w:val="24"/>
              </w:rPr>
            </w:pPr>
            <w:r>
              <w:rPr>
                <w:rFonts w:eastAsia="Times New Roman" w:cs="Times New Roman"/>
                <w:sz w:val="22"/>
                <w:szCs w:val="24"/>
                <w:lang w:eastAsia="ru-RU"/>
              </w:rPr>
              <w:t>министерство сельского хозяйства и перерабатывающей промышленности Краснодарского края</w:t>
            </w:r>
          </w:p>
        </w:tc>
      </w:tr>
      <w:tr>
        <w:trPr>
          <w:trHeight w:val="78" w:hRule="atLeast"/>
        </w:trPr>
        <w:tc>
          <w:tcPr>
            <w:tcW w:w="14595" w:type="dxa"/>
            <w:gridSpan w:val="5"/>
            <w:tcBorders/>
            <w:shd w:fill="auto" w:val="clear"/>
          </w:tcPr>
          <w:p>
            <w:pPr>
              <w:pStyle w:val="Normal"/>
              <w:spacing w:lineRule="auto" w:line="240" w:before="0" w:after="0"/>
              <w:jc w:val="center"/>
              <w:rPr>
                <w:sz w:val="22"/>
              </w:rPr>
            </w:pPr>
            <w:r>
              <w:rPr>
                <w:rFonts w:eastAsia="Times New Roman" w:cs="Times New Roman"/>
                <w:sz w:val="22"/>
                <w:szCs w:val="20"/>
                <w:lang w:eastAsia="ru-RU"/>
              </w:rPr>
              <w:t>9. Рынки сферы промышленности (рынок производства бетона, включая инновационные строительные материалы, рынок производства кирпича, рынок обработки древесины и производства изделий из дерева, рынок легкой промышленности, рынок композитных материалов, рынок продукции машиностроения)</w:t>
            </w:r>
          </w:p>
        </w:tc>
      </w:tr>
      <w:tr>
        <w:trPr>
          <w:trHeight w:val="1084"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9.1</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Проведение конгрессно-выставочных мероприятий с участием промышленных предприятий Краснодарского края</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протокол заседания Совета по развитию промышленности при главе администрации (губернаторе) Краснодарского края </w:t>
              <w:br/>
              <w:t>от 13 декабря 2018 г. № 3</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увеличение числа проинформированных потребителей выпускаемой промышленными предприятиями Краснодарского края продукции </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департамент промышленной политики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9.2</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Актуализация размещенного на официальном сайте департамента промышленной политики Краснодарского края каталога строительных материалов и конструкций, каталога промышленной продукции, производимой предприятиями Краснодарского края, и каталога производителей школьной формы</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протокол заседания Совета по развитию промышленности при главе администрации (губернаторе) Краснодарского края </w:t>
              <w:br/>
              <w:t>от 13 декабря 2018 г. № 3</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увеличение числа проинформированных потребителей выпускаемой промышленными предприятиями Краснодарского края продукции</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департамент промышленной политики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9.3</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Предоставление субсидий субъектам деятельности в сфере промышленности для возмещения части затрат, понесенных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 2014 – 2021 годах, на пополнение оборотных средств и (или) на финансирование текущей производственной деятельности, направленных на производство промышленной продукции</w:t>
            </w:r>
          </w:p>
        </w:tc>
        <w:tc>
          <w:tcPr>
            <w:tcW w:w="4109" w:type="dxa"/>
            <w:tcBorders/>
            <w:shd w:fill="auto" w:val="clear"/>
          </w:tcPr>
          <w:p>
            <w:pPr>
              <w:pStyle w:val="Normal"/>
              <w:widowControl w:val="false"/>
              <w:numPr>
                <w:ilvl w:val="0"/>
                <w:numId w:val="0"/>
              </w:numPr>
              <w:spacing w:lineRule="auto" w:line="240" w:before="0" w:after="0"/>
              <w:outlineLvl w:val="0"/>
              <w:rPr>
                <w:sz w:val="22"/>
              </w:rPr>
            </w:pPr>
            <w:r>
              <w:rPr>
                <w:rFonts w:eastAsia="Times New Roman" w:cs="Times New Roman"/>
                <w:sz w:val="22"/>
                <w:szCs w:val="20"/>
                <w:lang w:eastAsia="ru-RU"/>
              </w:rPr>
              <w:t>государственная программа «Развитие промышленности Краснодарского края и повышение её конкурентоспособности», утвержденная постановлением главы администрации (губернатора) Краснодарского края от 30 ноября 2015 г. № 1138,</w:t>
            </w:r>
          </w:p>
          <w:p>
            <w:pPr>
              <w:pStyle w:val="Normal"/>
              <w:widowControl w:val="false"/>
              <w:spacing w:lineRule="auto" w:line="240" w:before="0" w:after="0"/>
              <w:rPr>
                <w:sz w:val="22"/>
              </w:rPr>
            </w:pPr>
            <w:r>
              <w:rPr>
                <w:rFonts w:eastAsia="Times New Roman" w:cs="Times New Roman"/>
                <w:sz w:val="22"/>
                <w:szCs w:val="20"/>
                <w:lang w:eastAsia="ru-RU"/>
              </w:rPr>
              <w:t>паспорт регионального проекта «Адресная поддержка повышения производительности труда на предприятиях»</w:t>
            </w:r>
          </w:p>
          <w:p>
            <w:pPr>
              <w:pStyle w:val="Normal"/>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ежегодное увеличение объема производства продукции на 11 субъектах деятельности в сфере промышленности, получивших поддержку при реализации мероприятия, не менее чем на 5 %</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департамент промышленной политики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highlight w:val="cyan"/>
              </w:rPr>
            </w:pPr>
            <w:r>
              <w:rPr>
                <w:rFonts w:eastAsia="Times New Roman" w:cs="Times New Roman"/>
                <w:sz w:val="22"/>
                <w:szCs w:val="20"/>
                <w:lang w:eastAsia="ru-RU"/>
              </w:rPr>
              <w:t>9.4</w:t>
            </w:r>
          </w:p>
        </w:tc>
        <w:tc>
          <w:tcPr>
            <w:tcW w:w="4252" w:type="dxa"/>
            <w:tcBorders/>
            <w:shd w:fill="auto" w:val="clear"/>
          </w:tcPr>
          <w:p>
            <w:pPr>
              <w:pStyle w:val="Normal"/>
              <w:spacing w:lineRule="auto" w:line="240" w:before="0" w:after="0"/>
              <w:rPr/>
            </w:pPr>
            <w:r>
              <w:rPr>
                <w:rFonts w:eastAsia="Times New Roman" w:cs="Times New Roman"/>
                <w:sz w:val="22"/>
                <w:szCs w:val="20"/>
                <w:lang w:eastAsia="ru-RU"/>
              </w:rPr>
              <w:t xml:space="preserve">Предоставление субъектам деятельности в сфере промышленности (за исключением государственных и муниципальных учреждений) субсидий на возмещение части затрат на реализацию инвестиционных проектов по модернизации и развитию промышленных производств, за исключением затрат, предусмотренных </w:t>
            </w:r>
            <w:hyperlink r:id="rId9">
              <w:r>
                <w:rPr>
                  <w:rStyle w:val="ListLabel12"/>
                  <w:rFonts w:eastAsia="Times New Roman" w:cs="Times New Roman"/>
                  <w:sz w:val="22"/>
                  <w:szCs w:val="20"/>
                  <w:lang w:eastAsia="ru-RU"/>
                </w:rPr>
                <w:t>пунктом 1.2.1</w:t>
              </w:r>
            </w:hyperlink>
          </w:p>
        </w:tc>
        <w:tc>
          <w:tcPr>
            <w:tcW w:w="4109" w:type="dxa"/>
            <w:tcBorders/>
            <w:shd w:fill="auto" w:val="clear"/>
          </w:tcPr>
          <w:p>
            <w:pPr>
              <w:pStyle w:val="Normal"/>
              <w:widowControl w:val="false"/>
              <w:numPr>
                <w:ilvl w:val="0"/>
                <w:numId w:val="0"/>
              </w:numPr>
              <w:spacing w:lineRule="auto" w:line="240" w:before="0" w:after="0"/>
              <w:outlineLvl w:val="0"/>
              <w:rPr>
                <w:sz w:val="22"/>
              </w:rPr>
            </w:pPr>
            <w:r>
              <w:rPr>
                <w:rFonts w:eastAsia="Times New Roman" w:cs="Times New Roman"/>
                <w:sz w:val="22"/>
                <w:szCs w:val="20"/>
                <w:lang w:eastAsia="ru-RU"/>
              </w:rPr>
              <w:t>государственная программа «Развитие промышленности Краснодарского края и повышение её конкурентоспособности», утвержденная постановлением главы администрации (губернатора) Краснодарского края от 30 ноября 2015 г. № 1138,</w:t>
            </w:r>
          </w:p>
          <w:p>
            <w:pPr>
              <w:pStyle w:val="Normal"/>
              <w:widowControl w:val="false"/>
              <w:spacing w:lineRule="auto" w:line="240" w:before="0" w:after="0"/>
              <w:rPr>
                <w:b/>
                <w:b/>
                <w:sz w:val="22"/>
              </w:rPr>
            </w:pPr>
            <w:r>
              <w:rPr>
                <w:rFonts w:eastAsia="Times New Roman" w:cs="Times New Roman"/>
                <w:sz w:val="22"/>
                <w:szCs w:val="20"/>
                <w:lang w:eastAsia="ru-RU"/>
              </w:rPr>
              <w:t>паспорт регионального проекта «Адресная поддержка повышения производительности труда на предприятиях»</w:t>
            </w:r>
          </w:p>
        </w:tc>
        <w:tc>
          <w:tcPr>
            <w:tcW w:w="3686"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ежегодно не менее 2 субъектов деятельности в сфере промышленности, получивших поддержку при реализации мероприятия;</w:t>
            </w:r>
          </w:p>
          <w:p>
            <w:pPr>
              <w:pStyle w:val="Normal"/>
              <w:spacing w:lineRule="auto" w:line="240" w:before="0" w:after="0"/>
              <w:rPr>
                <w:sz w:val="22"/>
              </w:rPr>
            </w:pPr>
            <w:r>
              <w:rPr>
                <w:rFonts w:eastAsia="Times New Roman" w:cs="Times New Roman"/>
                <w:sz w:val="22"/>
                <w:szCs w:val="20"/>
                <w:lang w:eastAsia="ru-RU"/>
              </w:rPr>
              <w:t>создано или модернизировано в рамках реализуемых инвестиционных проектов не менее 50 рабочих мест, в том числе не менее 30 высокопроизводительных</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департамент промышленной политики Краснодарского края</w:t>
            </w:r>
          </w:p>
        </w:tc>
      </w:tr>
      <w:tr>
        <w:trPr>
          <w:trHeight w:val="78" w:hRule="atLeast"/>
        </w:trPr>
        <w:tc>
          <w:tcPr>
            <w:tcW w:w="703" w:type="dxa"/>
            <w:tcBorders/>
            <w:shd w:fill="auto" w:val="clear"/>
          </w:tcPr>
          <w:p>
            <w:pPr>
              <w:pStyle w:val="Normal"/>
              <w:spacing w:lineRule="auto" w:line="240" w:before="0" w:after="0"/>
              <w:jc w:val="left"/>
              <w:rPr>
                <w:sz w:val="22"/>
              </w:rPr>
            </w:pPr>
            <w:r>
              <w:rPr>
                <w:rFonts w:eastAsia="Times New Roman" w:cs="Times New Roman"/>
                <w:sz w:val="22"/>
                <w:szCs w:val="20"/>
                <w:lang w:eastAsia="ru-RU"/>
              </w:rPr>
              <w:t>9.5</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Предоставление субъектам деятельности в сфере промышленности (за исключением государственных и муниципальных учреждений) субсидий на возмещение части затрат, связанных с технологическим присоединением к сетям инженерно-технического обеспечения</w:t>
            </w:r>
          </w:p>
        </w:tc>
        <w:tc>
          <w:tcPr>
            <w:tcW w:w="4109" w:type="dxa"/>
            <w:tcBorders/>
            <w:shd w:fill="auto" w:val="clear"/>
          </w:tcPr>
          <w:p>
            <w:pPr>
              <w:pStyle w:val="Normal"/>
              <w:widowControl w:val="false"/>
              <w:numPr>
                <w:ilvl w:val="0"/>
                <w:numId w:val="0"/>
              </w:numPr>
              <w:spacing w:lineRule="auto" w:line="240" w:before="0" w:after="0"/>
              <w:outlineLvl w:val="0"/>
              <w:rPr>
                <w:b/>
                <w:b/>
                <w:sz w:val="22"/>
              </w:rPr>
            </w:pPr>
            <w:r>
              <w:rPr>
                <w:rFonts w:eastAsia="Times New Roman" w:cs="Times New Roman"/>
                <w:sz w:val="22"/>
                <w:szCs w:val="20"/>
                <w:lang w:eastAsia="ru-RU"/>
              </w:rPr>
              <w:t>государственная программа «Развитие промышленности Краснодарского края и повышение её конкурентоспособности», утвержденная постановлением главы администрации (губернатора) Краснодарского края от 30 ноября 2015 г. № 1138</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5 субъектов деятельности в сфере промышленности, осуществивших технологическое присоединение к сетям инженерно-технического обеспечения, в год</w:t>
            </w:r>
          </w:p>
        </w:tc>
        <w:tc>
          <w:tcPr>
            <w:tcW w:w="1845"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департамент промышленной политики Краснодарского края</w:t>
            </w:r>
          </w:p>
        </w:tc>
      </w:tr>
      <w:tr>
        <w:trPr>
          <w:trHeight w:val="78" w:hRule="atLeast"/>
        </w:trPr>
        <w:tc>
          <w:tcPr>
            <w:tcW w:w="14595" w:type="dxa"/>
            <w:gridSpan w:val="5"/>
            <w:tcBorders/>
            <w:shd w:fill="auto" w:val="clear"/>
          </w:tcPr>
          <w:p>
            <w:pPr>
              <w:pStyle w:val="Normal"/>
              <w:spacing w:lineRule="auto" w:line="240" w:before="0" w:after="0"/>
              <w:ind w:left="720" w:hanging="0"/>
              <w:jc w:val="center"/>
              <w:rPr>
                <w:sz w:val="22"/>
              </w:rPr>
            </w:pPr>
            <w:r>
              <w:rPr>
                <w:rFonts w:eastAsia="Times New Roman" w:cs="Times New Roman"/>
                <w:sz w:val="22"/>
                <w:szCs w:val="20"/>
                <w:lang w:eastAsia="ru-RU"/>
              </w:rPr>
              <w:t>10. Торговля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10.1</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Организация и проведение краевых конкурсов, выставок, совещаний, конференций, круглых столов, семинаров, в том числе проведение ежегодных краевых конкурсов в области качества; участие в краевых, российских и международных мероприятиях, направленных на содействие развитию и совершенствование торговой деятельности на территории Краснодарского края</w:t>
            </w:r>
          </w:p>
          <w:p>
            <w:pPr>
              <w:pStyle w:val="Normal"/>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 </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проведение краевых конкурсов, выставок, совещаний, конференций, «круглых столов», семинаров – </w:t>
              <w:br/>
              <w:t>6 ежегодно;</w:t>
            </w:r>
          </w:p>
          <w:p>
            <w:pPr>
              <w:pStyle w:val="Normal"/>
              <w:spacing w:lineRule="auto" w:line="240" w:before="0" w:after="0"/>
              <w:rPr>
                <w:sz w:val="22"/>
              </w:rPr>
            </w:pPr>
            <w:r>
              <w:rPr>
                <w:rFonts w:eastAsia="Times New Roman" w:cs="Times New Roman"/>
                <w:sz w:val="22"/>
                <w:szCs w:val="20"/>
                <w:lang w:eastAsia="ru-RU"/>
              </w:rPr>
              <w:t>участие в краевых, российских и международных мероприятиях – 1 ежегодно</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департамент потребительской сферы и регулирования рынка алкоголя Краснодарского края</w:t>
            </w:r>
          </w:p>
        </w:tc>
      </w:tr>
      <w:tr>
        <w:trPr>
          <w:trHeight w:val="78" w:hRule="atLeast"/>
        </w:trPr>
        <w:tc>
          <w:tcPr>
            <w:tcW w:w="14595" w:type="dxa"/>
            <w:gridSpan w:val="5"/>
            <w:tcBorders/>
            <w:shd w:fill="auto" w:val="clear"/>
          </w:tcPr>
          <w:p>
            <w:pPr>
              <w:pStyle w:val="Normal"/>
              <w:numPr>
                <w:ilvl w:val="0"/>
                <w:numId w:val="5"/>
              </w:numPr>
              <w:spacing w:lineRule="auto" w:line="240" w:before="0" w:after="0"/>
              <w:contextualSpacing/>
              <w:jc w:val="center"/>
              <w:rPr>
                <w:sz w:val="22"/>
              </w:rPr>
            </w:pPr>
            <w:r>
              <w:rPr>
                <w:rFonts w:eastAsia="Times New Roman" w:cs="Times New Roman"/>
                <w:sz w:val="22"/>
                <w:szCs w:val="20"/>
                <w:lang w:eastAsia="ru-RU"/>
              </w:rPr>
              <w:t>Рынок санаторно-курортных и туристских услуг</w:t>
            </w:r>
          </w:p>
        </w:tc>
      </w:tr>
      <w:tr>
        <w:trPr>
          <w:trHeight w:val="170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11.1</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Реализация мероприятий, направленных на популяризацию и продвижение санаторно-курортного и туристского комплекса Краснодарского края, в том числе проведение и участие в отраслевых выставочных мероприятиях, ярмарках</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p>
            <w:pPr>
              <w:pStyle w:val="Normal"/>
              <w:spacing w:lineRule="auto" w:line="240" w:before="0" w:after="0"/>
              <w:rPr>
                <w:sz w:val="22"/>
              </w:rPr>
            </w:pPr>
            <w:r>
              <w:rPr>
                <w:rFonts w:eastAsia="Times New Roman" w:cs="Times New Roman"/>
                <w:sz w:val="22"/>
                <w:szCs w:val="20"/>
                <w:lang w:eastAsia="ru-RU"/>
              </w:rPr>
              <w:t>государственная программа Краснодарского края «Развитие санаторно-курортного и туристского комплекса», утвержденная постановлением главы администрации (губернатора) Краснодарского края от 5 ноября 2015 г. № 1007</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количество реализованных мероприятий, единиц</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министерство курортов, туризма и олимпийского наследия Краснодарского края, </w:t>
            </w:r>
          </w:p>
          <w:p>
            <w:pPr>
              <w:pStyle w:val="Normal"/>
              <w:spacing w:lineRule="auto" w:line="240" w:before="0" w:after="0"/>
              <w:rPr>
                <w:sz w:val="22"/>
              </w:rPr>
            </w:pPr>
            <w:r>
              <w:rPr>
                <w:rFonts w:eastAsia="Times New Roman" w:cs="Times New Roman"/>
                <w:sz w:val="22"/>
                <w:szCs w:val="20"/>
                <w:lang w:eastAsia="ru-RU"/>
              </w:rPr>
              <w:t>органы местного самоуправления в Краснодарском крае (по согласованию)</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11.2</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Участие в реализации региональной инвестиционной политики:</w:t>
            </w:r>
          </w:p>
          <w:p>
            <w:pPr>
              <w:pStyle w:val="Normal"/>
              <w:spacing w:lineRule="auto" w:line="240" w:before="0" w:after="0"/>
              <w:rPr>
                <w:sz w:val="22"/>
              </w:rPr>
            </w:pPr>
            <w:r>
              <w:rPr>
                <w:rFonts w:eastAsia="Times New Roman" w:cs="Times New Roman"/>
                <w:sz w:val="22"/>
                <w:szCs w:val="20"/>
                <w:lang w:eastAsia="ru-RU"/>
              </w:rPr>
              <w:t xml:space="preserve">формирование информации об инвестиционных проектах в сфере развития курортов и туризма; </w:t>
            </w:r>
          </w:p>
          <w:p>
            <w:pPr>
              <w:pStyle w:val="Normal"/>
              <w:spacing w:lineRule="auto" w:line="240" w:before="0" w:after="0"/>
              <w:rPr>
                <w:sz w:val="22"/>
              </w:rPr>
            </w:pPr>
            <w:r>
              <w:rPr>
                <w:rFonts w:eastAsia="Times New Roman" w:cs="Times New Roman"/>
                <w:sz w:val="22"/>
                <w:szCs w:val="20"/>
                <w:lang w:eastAsia="ru-RU"/>
              </w:rPr>
              <w:t xml:space="preserve">участие в привлечении инвестиций в развитие санаторно-курортного и туристского комплекса Краснодарского края; </w:t>
            </w:r>
          </w:p>
          <w:p>
            <w:pPr>
              <w:pStyle w:val="Normal"/>
              <w:spacing w:lineRule="auto" w:line="240" w:before="0" w:after="0"/>
              <w:rPr>
                <w:sz w:val="22"/>
              </w:rPr>
            </w:pPr>
            <w:r>
              <w:rPr>
                <w:rFonts w:eastAsia="Times New Roman" w:cs="Times New Roman"/>
                <w:sz w:val="22"/>
                <w:szCs w:val="20"/>
                <w:lang w:eastAsia="ru-RU"/>
              </w:rPr>
              <w:t>обеспечение проработки инвестиционных проектов в сфере курортов и туризма в муниципальных образованиях</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количество инвестиционных проектов, единиц</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министерство курортов, туризма и олимпийского наследия Краснодарского края, </w:t>
            </w:r>
          </w:p>
          <w:p>
            <w:pPr>
              <w:pStyle w:val="Normal"/>
              <w:spacing w:lineRule="auto" w:line="240" w:before="0" w:after="0"/>
              <w:rPr>
                <w:sz w:val="22"/>
              </w:rPr>
            </w:pPr>
            <w:r>
              <w:rPr>
                <w:rFonts w:eastAsia="Times New Roman" w:cs="Times New Roman"/>
                <w:sz w:val="22"/>
                <w:szCs w:val="20"/>
                <w:lang w:eastAsia="ru-RU"/>
              </w:rPr>
              <w:t>органы местного самоуправления в Краснодарском крае (по согласованию)</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11.3</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Содействие классификации объектов </w:t>
              <w:br/>
              <w:t xml:space="preserve">туристской индустрии, включающих </w:t>
              <w:br/>
              <w:t>гостиницы и иные средства размещения, горнолыжные трассы и пляжи</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количество проклассифицированных объектов, единиц</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министерство курортов, туризма и олимпийского наследия Краснодарского края, </w:t>
            </w:r>
          </w:p>
          <w:p>
            <w:pPr>
              <w:pStyle w:val="Normal"/>
              <w:spacing w:lineRule="auto" w:line="240" w:before="0" w:after="0"/>
              <w:rPr>
                <w:sz w:val="22"/>
              </w:rPr>
            </w:pPr>
            <w:r>
              <w:rPr>
                <w:rFonts w:eastAsia="Times New Roman" w:cs="Times New Roman"/>
                <w:sz w:val="22"/>
                <w:szCs w:val="20"/>
                <w:lang w:eastAsia="ru-RU"/>
              </w:rPr>
              <w:t>органы местного самоуправления в Краснодарском крае (по согласованию)</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11.4</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Предоставление грантов в форме субсидий победителям, занявшим призовые места по итогам краевого конкурса «Лучший объект сельского (аграрного) туризма в Краснодарском крае» </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государственная программа Краснодарского края «Развитие санаторно-курортного и туристского комплекса», утвержденная постановлением главы администрации (губернатора) Краснодарского края от 5 ноября 2015 г. № 1007</w:t>
            </w:r>
          </w:p>
          <w:p>
            <w:pPr>
              <w:pStyle w:val="Normal"/>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предоставление грантов в форме субсидий победителям, занявшим призовые места по итогам краевого конкурса «Лучший объект сельского (аграрного) туризма в Краснодарском крае» – 9 грантов ежегодно</w:t>
            </w:r>
          </w:p>
          <w:p>
            <w:pPr>
              <w:pStyle w:val="Normal"/>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министерство курортов, туризма и олимпийского наследия Краснодарского края, </w:t>
            </w:r>
          </w:p>
          <w:p>
            <w:pPr>
              <w:pStyle w:val="Normal"/>
              <w:spacing w:lineRule="auto" w:line="240" w:before="0" w:after="0"/>
              <w:rPr>
                <w:sz w:val="22"/>
              </w:rPr>
            </w:pPr>
            <w:r>
              <w:rPr>
                <w:rFonts w:eastAsia="Times New Roman" w:cs="Times New Roman"/>
                <w:sz w:val="22"/>
                <w:szCs w:val="20"/>
                <w:lang w:eastAsia="ru-RU"/>
              </w:rPr>
              <w:t>органы местного самоуправления в Краснодарском крае (по согласованию)</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11.5</w:t>
            </w:r>
          </w:p>
        </w:tc>
        <w:tc>
          <w:tcPr>
            <w:tcW w:w="4252" w:type="dxa"/>
            <w:tcBorders/>
            <w:shd w:fill="auto" w:val="clear"/>
          </w:tcPr>
          <w:p>
            <w:pPr>
              <w:pStyle w:val="Normal"/>
              <w:spacing w:lineRule="auto" w:line="240" w:before="0" w:after="0"/>
              <w:rPr>
                <w:sz w:val="22"/>
                <w:szCs w:val="22"/>
              </w:rPr>
            </w:pPr>
            <w:r>
              <w:rPr>
                <w:rFonts w:eastAsia="Times New Roman" w:cs="Times New Roman"/>
                <w:sz w:val="22"/>
                <w:szCs w:val="22"/>
                <w:lang w:eastAsia="ru-RU"/>
              </w:rPr>
              <w:t xml:space="preserve">Реализация Национального проекта </w:t>
              <w:br/>
              <w:t>«Туризм и индустрия гостеприимства»</w:t>
            </w:r>
          </w:p>
        </w:tc>
        <w:tc>
          <w:tcPr>
            <w:tcW w:w="4109" w:type="dxa"/>
            <w:tcBorders/>
            <w:shd w:fill="auto" w:val="clear"/>
          </w:tcPr>
          <w:p>
            <w:pPr>
              <w:pStyle w:val="Normal"/>
              <w:spacing w:lineRule="auto" w:line="240" w:before="0" w:after="0"/>
              <w:rPr>
                <w:sz w:val="22"/>
                <w:szCs w:val="22"/>
              </w:rPr>
            </w:pPr>
            <w:r>
              <w:rPr>
                <w:rFonts w:eastAsia="Times New Roman" w:cs="Times New Roman"/>
                <w:sz w:val="22"/>
                <w:szCs w:val="22"/>
                <w:lang w:eastAsia="ru-RU"/>
              </w:rPr>
              <w:t>паспорт национального проекта «Туризм и индустрия гостеприимства»</w:t>
            </w:r>
          </w:p>
        </w:tc>
        <w:tc>
          <w:tcPr>
            <w:tcW w:w="3686" w:type="dxa"/>
            <w:tcBorders/>
            <w:shd w:fill="auto" w:val="clear"/>
          </w:tcPr>
          <w:p>
            <w:pPr>
              <w:pStyle w:val="Normal"/>
              <w:spacing w:lineRule="auto" w:line="240" w:before="0" w:after="0"/>
              <w:rPr>
                <w:sz w:val="22"/>
                <w:szCs w:val="22"/>
              </w:rPr>
            </w:pPr>
            <w:r>
              <w:rPr>
                <w:rFonts w:eastAsia="Times New Roman" w:cs="Times New Roman"/>
                <w:sz w:val="22"/>
                <w:szCs w:val="22"/>
                <w:lang w:eastAsia="ru-RU"/>
              </w:rPr>
              <w:t>до 2025 года реализация региональных проектов в сфере туризма и индустрии гостеприимства</w:t>
            </w:r>
          </w:p>
        </w:tc>
        <w:tc>
          <w:tcPr>
            <w:tcW w:w="1845" w:type="dxa"/>
            <w:tcBorders/>
            <w:shd w:fill="auto" w:val="clear"/>
          </w:tcPr>
          <w:p>
            <w:pPr>
              <w:pStyle w:val="Normal"/>
              <w:spacing w:lineRule="auto" w:line="240" w:before="0" w:after="0"/>
              <w:rPr>
                <w:sz w:val="22"/>
                <w:szCs w:val="22"/>
              </w:rPr>
            </w:pPr>
            <w:r>
              <w:rPr>
                <w:rFonts w:eastAsia="Times New Roman" w:cs="Times New Roman"/>
                <w:sz w:val="22"/>
                <w:szCs w:val="22"/>
                <w:lang w:eastAsia="ru-RU"/>
              </w:rPr>
              <w:t xml:space="preserve">министерство курортов, туризма и олимпийского наследия Краснодарского края, </w:t>
            </w:r>
          </w:p>
          <w:p>
            <w:pPr>
              <w:pStyle w:val="Normal"/>
              <w:spacing w:lineRule="auto" w:line="240" w:before="0" w:after="0"/>
              <w:rPr>
                <w:sz w:val="22"/>
                <w:szCs w:val="22"/>
              </w:rPr>
            </w:pPr>
            <w:r>
              <w:rPr>
                <w:rFonts w:eastAsia="Times New Roman" w:cs="Times New Roman"/>
                <w:sz w:val="22"/>
                <w:szCs w:val="22"/>
                <w:lang w:eastAsia="ru-RU"/>
              </w:rPr>
              <w:t>федеральные и региональные органы исполнительной власти, органы местного самоуправления в Краснодарском крае (по согласованию),</w:t>
            </w:r>
          </w:p>
          <w:p>
            <w:pPr>
              <w:pStyle w:val="Normal"/>
              <w:spacing w:lineRule="auto" w:line="240" w:before="0" w:after="0"/>
              <w:rPr>
                <w:sz w:val="22"/>
                <w:szCs w:val="22"/>
              </w:rPr>
            </w:pPr>
            <w:r>
              <w:rPr>
                <w:rFonts w:eastAsia="Times New Roman" w:cs="Times New Roman"/>
                <w:sz w:val="22"/>
                <w:szCs w:val="22"/>
                <w:lang w:eastAsia="ru-RU"/>
              </w:rPr>
              <w:t>юридические лица</w:t>
            </w:r>
          </w:p>
        </w:tc>
      </w:tr>
      <w:tr>
        <w:trPr>
          <w:trHeight w:val="3834"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11.6</w:t>
            </w:r>
          </w:p>
        </w:tc>
        <w:tc>
          <w:tcPr>
            <w:tcW w:w="4252" w:type="dxa"/>
            <w:tcBorders/>
            <w:shd w:fill="auto" w:val="clear"/>
          </w:tcPr>
          <w:p>
            <w:pPr>
              <w:pStyle w:val="Normal"/>
              <w:spacing w:lineRule="auto" w:line="240" w:before="0" w:after="0"/>
              <w:rPr>
                <w:sz w:val="22"/>
                <w:szCs w:val="22"/>
              </w:rPr>
            </w:pPr>
            <w:r>
              <w:rPr>
                <w:rFonts w:eastAsia="Times New Roman" w:cs="Times New Roman"/>
                <w:sz w:val="22"/>
                <w:szCs w:val="22"/>
                <w:lang w:eastAsia="ru-RU"/>
              </w:rPr>
              <w:t>Реализация Концепции развития санаторно-курортной и туристской отрасли Краснодарского края до 2030 года</w:t>
            </w:r>
          </w:p>
        </w:tc>
        <w:tc>
          <w:tcPr>
            <w:tcW w:w="4109" w:type="dxa"/>
            <w:tcBorders/>
            <w:shd w:fill="auto" w:val="clear"/>
          </w:tcPr>
          <w:p>
            <w:pPr>
              <w:pStyle w:val="Normal"/>
              <w:spacing w:lineRule="auto" w:line="240" w:before="0" w:after="0"/>
              <w:rPr>
                <w:sz w:val="22"/>
                <w:szCs w:val="22"/>
              </w:rPr>
            </w:pPr>
            <w:r>
              <w:rPr>
                <w:rFonts w:eastAsia="Times New Roman" w:cs="Times New Roman"/>
                <w:sz w:val="22"/>
                <w:szCs w:val="22"/>
                <w:lang w:eastAsia="ru-RU"/>
              </w:rPr>
              <w:t>концепция развития санаторно-курортной и туристской отрасли Краснодарского края до 2030 года</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туристский поток, тысяч человек: </w:t>
            </w:r>
          </w:p>
          <w:p>
            <w:pPr>
              <w:pStyle w:val="Normal"/>
              <w:spacing w:lineRule="auto" w:line="240" w:before="0" w:after="0"/>
              <w:rPr>
                <w:sz w:val="22"/>
              </w:rPr>
            </w:pPr>
            <w:r>
              <w:rPr>
                <w:rFonts w:eastAsia="Times New Roman" w:cs="Times New Roman"/>
                <w:sz w:val="22"/>
                <w:szCs w:val="20"/>
                <w:lang w:eastAsia="ru-RU"/>
              </w:rPr>
              <w:t xml:space="preserve">к 2022 году – 17 000, </w:t>
            </w:r>
          </w:p>
          <w:p>
            <w:pPr>
              <w:pStyle w:val="Normal"/>
              <w:spacing w:lineRule="auto" w:line="240" w:before="0" w:after="0"/>
              <w:rPr>
                <w:sz w:val="22"/>
              </w:rPr>
            </w:pPr>
            <w:r>
              <w:rPr>
                <w:rFonts w:eastAsia="Times New Roman" w:cs="Times New Roman"/>
                <w:sz w:val="22"/>
                <w:szCs w:val="20"/>
                <w:lang w:eastAsia="ru-RU"/>
              </w:rPr>
              <w:t xml:space="preserve">к 2023 году – 17 324, </w:t>
            </w:r>
          </w:p>
          <w:p>
            <w:pPr>
              <w:pStyle w:val="Normal"/>
              <w:spacing w:lineRule="auto" w:line="240" w:before="0" w:after="0"/>
              <w:rPr>
                <w:sz w:val="22"/>
              </w:rPr>
            </w:pPr>
            <w:r>
              <w:rPr>
                <w:rFonts w:eastAsia="Times New Roman" w:cs="Times New Roman"/>
                <w:sz w:val="22"/>
                <w:szCs w:val="20"/>
                <w:lang w:eastAsia="ru-RU"/>
              </w:rPr>
              <w:t xml:space="preserve">к 2024 году – 18 999, </w:t>
            </w:r>
          </w:p>
          <w:p>
            <w:pPr>
              <w:pStyle w:val="Normal"/>
              <w:spacing w:lineRule="auto" w:line="240" w:before="0" w:after="0"/>
              <w:rPr>
                <w:sz w:val="22"/>
              </w:rPr>
            </w:pPr>
            <w:r>
              <w:rPr>
                <w:rFonts w:eastAsia="Times New Roman" w:cs="Times New Roman"/>
                <w:sz w:val="22"/>
                <w:szCs w:val="20"/>
                <w:lang w:eastAsia="ru-RU"/>
              </w:rPr>
              <w:t>к 2025 году – 19 000</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министерство курортов, туризма и олимпийского наследия Краснодарского края, </w:t>
            </w:r>
          </w:p>
          <w:p>
            <w:pPr>
              <w:pStyle w:val="Normal"/>
              <w:spacing w:lineRule="auto" w:line="240" w:before="0" w:after="0"/>
              <w:rPr>
                <w:sz w:val="22"/>
              </w:rPr>
            </w:pPr>
            <w:r>
              <w:rPr>
                <w:rFonts w:eastAsia="Times New Roman" w:cs="Times New Roman"/>
                <w:sz w:val="22"/>
                <w:szCs w:val="20"/>
                <w:lang w:eastAsia="ru-RU"/>
              </w:rPr>
              <w:t>федеральные и региональные органы исполнительной власти, органы местного самоуправления в Краснодарском крае (по согласованию),</w:t>
            </w:r>
          </w:p>
          <w:p>
            <w:pPr>
              <w:pStyle w:val="Normal"/>
              <w:spacing w:lineRule="auto" w:line="240" w:before="0" w:after="0"/>
              <w:rPr>
                <w:sz w:val="22"/>
              </w:rPr>
            </w:pPr>
            <w:r>
              <w:rPr>
                <w:rFonts w:eastAsia="Times New Roman" w:cs="Times New Roman"/>
                <w:sz w:val="22"/>
                <w:szCs w:val="20"/>
                <w:lang w:eastAsia="ru-RU"/>
              </w:rPr>
              <w:t>юридические лица</w:t>
            </w:r>
          </w:p>
        </w:tc>
      </w:tr>
      <w:tr>
        <w:trPr>
          <w:trHeight w:val="4260"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11.7</w:t>
            </w:r>
          </w:p>
        </w:tc>
        <w:tc>
          <w:tcPr>
            <w:tcW w:w="4252" w:type="dxa"/>
            <w:tcBorders/>
            <w:shd w:fill="auto" w:val="clear"/>
          </w:tcPr>
          <w:p>
            <w:pPr>
              <w:pStyle w:val="Normal"/>
              <w:spacing w:lineRule="auto" w:line="240" w:before="0" w:after="0"/>
              <w:rPr>
                <w:sz w:val="22"/>
              </w:rPr>
            </w:pPr>
            <w:r>
              <w:rPr>
                <w:rFonts w:eastAsia="Times New Roman" w:cs="Times New Roman"/>
                <w:sz w:val="22"/>
                <w:szCs w:val="20"/>
                <w:lang w:eastAsia="ru-RU"/>
              </w:rPr>
              <w:t>Реализация Концепции развития инфраструктуры яхтенного туризма на Азово-Черноморском побережье Краснодарского края</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концепция развития инфраструктуры яхтенного туризма на Азово-Черноморском побережье Краснодарского края</w:t>
            </w:r>
          </w:p>
        </w:tc>
        <w:tc>
          <w:tcPr>
            <w:tcW w:w="3686" w:type="dxa"/>
            <w:tcBorders/>
            <w:shd w:fill="auto" w:val="clear"/>
          </w:tcPr>
          <w:p>
            <w:pPr>
              <w:pStyle w:val="Normal"/>
              <w:spacing w:lineRule="auto" w:line="240" w:before="0" w:after="0"/>
              <w:rPr>
                <w:sz w:val="22"/>
              </w:rPr>
            </w:pPr>
            <w:r>
              <w:rPr>
                <w:rFonts w:eastAsia="Times New Roman" w:cs="Times New Roman"/>
                <w:sz w:val="22"/>
                <w:szCs w:val="20"/>
                <w:lang w:eastAsia="ru-RU"/>
              </w:rPr>
              <w:t>создание к 2025 году яхтенной марины вместимостью не менее 250 мест</w:t>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министерство курортов, туризма и олимпийского наследия Краснодарского края, </w:t>
            </w:r>
          </w:p>
          <w:p>
            <w:pPr>
              <w:pStyle w:val="Normal"/>
              <w:spacing w:lineRule="auto" w:line="240" w:before="0" w:after="0"/>
              <w:rPr>
                <w:sz w:val="22"/>
              </w:rPr>
            </w:pPr>
            <w:r>
              <w:rPr>
                <w:rFonts w:eastAsia="Times New Roman" w:cs="Times New Roman"/>
                <w:sz w:val="22"/>
                <w:szCs w:val="20"/>
                <w:lang w:eastAsia="ru-RU"/>
              </w:rPr>
              <w:t xml:space="preserve">федеральные и региональные органы исполнительной власти, </w:t>
            </w:r>
          </w:p>
          <w:p>
            <w:pPr>
              <w:pStyle w:val="Normal"/>
              <w:spacing w:lineRule="auto" w:line="240" w:before="0" w:after="0"/>
              <w:rPr>
                <w:sz w:val="22"/>
              </w:rPr>
            </w:pPr>
            <w:r>
              <w:rPr>
                <w:rFonts w:eastAsia="Times New Roman" w:cs="Times New Roman"/>
                <w:sz w:val="22"/>
                <w:szCs w:val="20"/>
                <w:lang w:eastAsia="ru-RU"/>
              </w:rPr>
              <w:t>органы местного самоуправления в Краснодарском крае (по согласованию),</w:t>
            </w:r>
          </w:p>
          <w:p>
            <w:pPr>
              <w:pStyle w:val="Normal"/>
              <w:spacing w:lineRule="auto" w:line="240" w:before="0" w:after="0"/>
              <w:rPr>
                <w:sz w:val="22"/>
              </w:rPr>
            </w:pPr>
            <w:r>
              <w:rPr>
                <w:rFonts w:eastAsia="Times New Roman" w:cs="Times New Roman"/>
                <w:sz w:val="22"/>
                <w:szCs w:val="20"/>
                <w:lang w:eastAsia="ru-RU"/>
              </w:rPr>
              <w:t>юридические лица</w:t>
            </w:r>
          </w:p>
        </w:tc>
      </w:tr>
      <w:tr>
        <w:trPr>
          <w:trHeight w:val="78" w:hRule="atLeast"/>
        </w:trPr>
        <w:tc>
          <w:tcPr>
            <w:tcW w:w="14595" w:type="dxa"/>
            <w:gridSpan w:val="5"/>
            <w:tcBorders/>
            <w:shd w:fill="auto" w:val="clear"/>
          </w:tcPr>
          <w:p>
            <w:pPr>
              <w:pStyle w:val="Normal"/>
              <w:tabs>
                <w:tab w:val="clear" w:pos="708"/>
                <w:tab w:val="left" w:pos="1046" w:leader="none"/>
              </w:tabs>
              <w:spacing w:lineRule="auto" w:line="240" w:before="0" w:after="0"/>
              <w:jc w:val="center"/>
              <w:rPr>
                <w:strike/>
                <w:sz w:val="22"/>
              </w:rPr>
            </w:pPr>
            <w:r>
              <w:rPr>
                <w:rFonts w:eastAsia="Times New Roman" w:cs="Times New Roman"/>
                <w:sz w:val="22"/>
                <w:szCs w:val="20"/>
                <w:lang w:eastAsia="ru-RU"/>
              </w:rPr>
              <w:t>12. Мероприятия по повышению финансовой грамотности населения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12.1</w:t>
            </w:r>
          </w:p>
        </w:tc>
        <w:tc>
          <w:tcPr>
            <w:tcW w:w="4252"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Организация и проведение массовых публичных мероприятий (конференция, круглый стол, ярмарки, семинары) по вопросам финансовой грамотности, в том числе по вопросам налоговой грамотности, для населения Краснодарского края, а также развития безналичных расчетов (платежей), противодействия недобросовестным практикам на открытом финансовом рынке</w:t>
            </w:r>
          </w:p>
        </w:tc>
        <w:tc>
          <w:tcPr>
            <w:tcW w:w="4109" w:type="dxa"/>
            <w:tcBorders/>
            <w:shd w:fill="auto" w:val="clear"/>
          </w:tcPr>
          <w:p>
            <w:pPr>
              <w:pStyle w:val="Normal"/>
              <w:tabs>
                <w:tab w:val="clear" w:pos="708"/>
                <w:tab w:val="left" w:pos="1046" w:leader="none"/>
              </w:tabs>
              <w:spacing w:lineRule="auto" w:line="240" w:before="0" w:after="0"/>
              <w:rPr>
                <w:sz w:val="22"/>
              </w:rPr>
            </w:pPr>
            <w:r>
              <w:rPr>
                <w:rFonts w:eastAsia="Times New Roman" w:cs="Times New Roman"/>
                <w:sz w:val="22"/>
                <w:szCs w:val="20"/>
                <w:lang w:eastAsia="ru-RU"/>
              </w:rPr>
              <w:t>подпрограмма «Финансовое просвещение населения Краснодарского края» государственной программы Краснодарского края «Социально-экономическое и инновационное развитие Краснодарского края», утвержденной постановлением главы администрации (губернатора) Краснодарского края от 5 октября 2020 г. № 943</w:t>
            </w:r>
          </w:p>
        </w:tc>
        <w:tc>
          <w:tcPr>
            <w:tcW w:w="3686" w:type="dxa"/>
            <w:tcBorders/>
            <w:shd w:fill="auto" w:val="clear"/>
          </w:tcPr>
          <w:p>
            <w:pPr>
              <w:pStyle w:val="Normal"/>
              <w:spacing w:lineRule="auto" w:line="240" w:before="0" w:after="0"/>
              <w:rPr>
                <w:sz w:val="22"/>
                <w:szCs w:val="24"/>
              </w:rPr>
            </w:pPr>
            <w:r>
              <w:rPr>
                <w:rFonts w:eastAsia="Times New Roman" w:cs="Times New Roman"/>
                <w:sz w:val="22"/>
                <w:szCs w:val="24"/>
                <w:lang w:eastAsia="ru-RU"/>
              </w:rPr>
              <w:t>количество проведенных публичных мероприятий (конференция, круглый стол, ярмарки, семинары) – 60 единиц ежегодно;</w:t>
            </w:r>
          </w:p>
          <w:p>
            <w:pPr>
              <w:pStyle w:val="Normal"/>
              <w:spacing w:lineRule="auto" w:line="240" w:before="0" w:after="0"/>
              <w:rPr>
                <w:sz w:val="22"/>
                <w:szCs w:val="24"/>
              </w:rPr>
            </w:pPr>
            <w:r>
              <w:rPr>
                <w:rFonts w:eastAsia="Times New Roman" w:cs="Times New Roman"/>
                <w:sz w:val="22"/>
                <w:szCs w:val="24"/>
                <w:lang w:eastAsia="ru-RU"/>
              </w:rPr>
              <w:t>число участников мероприятий (конференция, круглый стол, ярмарки, семинары) – 1900 человек ежегодно</w:t>
            </w:r>
          </w:p>
          <w:p>
            <w:pPr>
              <w:pStyle w:val="Normal"/>
              <w:tabs>
                <w:tab w:val="clear" w:pos="708"/>
                <w:tab w:val="left" w:pos="1046" w:leader="none"/>
              </w:tabs>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1845" w:type="dxa"/>
            <w:tcBorders/>
            <w:shd w:fill="auto" w:val="clear"/>
          </w:tcPr>
          <w:p>
            <w:pPr>
              <w:pStyle w:val="Normal"/>
              <w:spacing w:lineRule="auto" w:line="240" w:before="0" w:after="0"/>
              <w:rPr>
                <w:sz w:val="22"/>
              </w:rPr>
            </w:pPr>
            <w:r>
              <w:rPr>
                <w:rFonts w:eastAsia="Times New Roman" w:cs="Times New Roman"/>
                <w:sz w:val="22"/>
                <w:szCs w:val="20"/>
                <w:lang w:eastAsia="ru-RU"/>
              </w:rPr>
              <w:t>министерство экономики Краснодарского края,</w:t>
            </w:r>
          </w:p>
          <w:p>
            <w:pPr>
              <w:pStyle w:val="Normal"/>
              <w:spacing w:lineRule="auto" w:line="240" w:before="0" w:after="0"/>
              <w:rPr>
                <w:sz w:val="22"/>
              </w:rPr>
            </w:pPr>
            <w:r>
              <w:rPr>
                <w:rFonts w:eastAsia="Times New Roman" w:cs="Times New Roman"/>
                <w:sz w:val="22"/>
                <w:szCs w:val="20"/>
                <w:lang w:eastAsia="ru-RU"/>
              </w:rPr>
              <w:t>Южное ГУ Банка России (по согласованию),</w:t>
            </w:r>
          </w:p>
          <w:p>
            <w:pPr>
              <w:pStyle w:val="Normal"/>
              <w:spacing w:lineRule="auto" w:line="240" w:before="0" w:after="0"/>
              <w:rPr>
                <w:sz w:val="22"/>
              </w:rPr>
            </w:pPr>
            <w:r>
              <w:rPr>
                <w:rFonts w:eastAsia="Times New Roman" w:cs="Times New Roman"/>
                <w:sz w:val="22"/>
                <w:szCs w:val="20"/>
                <w:lang w:eastAsia="ru-RU"/>
              </w:rPr>
              <w:t xml:space="preserve">органы местного самоуправления муниципальных образований Краснодарского края (по согласованию), </w:t>
            </w:r>
          </w:p>
          <w:p>
            <w:pPr>
              <w:pStyle w:val="Normal"/>
              <w:spacing w:lineRule="auto" w:line="240" w:before="0" w:after="0"/>
              <w:rPr>
                <w:sz w:val="22"/>
              </w:rPr>
            </w:pPr>
            <w:r>
              <w:rPr>
                <w:rFonts w:eastAsia="Times New Roman" w:cs="Times New Roman"/>
                <w:sz w:val="22"/>
                <w:szCs w:val="20"/>
                <w:lang w:eastAsia="ru-RU"/>
              </w:rPr>
              <w:t>кредитные организации (филиалы, внутренние структурные подразделения) (по согласованию)</w:t>
            </w:r>
          </w:p>
        </w:tc>
      </w:tr>
      <w:tr>
        <w:trPr>
          <w:trHeight w:val="78" w:hRule="atLeast"/>
        </w:trPr>
        <w:tc>
          <w:tcPr>
            <w:tcW w:w="14595" w:type="dxa"/>
            <w:gridSpan w:val="5"/>
            <w:tcBorders/>
            <w:shd w:fill="auto" w:val="clear"/>
          </w:tcPr>
          <w:p>
            <w:pPr>
              <w:pStyle w:val="Normal"/>
              <w:tabs>
                <w:tab w:val="clear" w:pos="708"/>
                <w:tab w:val="left" w:pos="1046" w:leader="none"/>
              </w:tabs>
              <w:spacing w:lineRule="auto" w:line="240" w:before="0" w:after="0"/>
              <w:jc w:val="center"/>
              <w:rPr>
                <w:sz w:val="22"/>
              </w:rPr>
            </w:pPr>
            <w:r>
              <w:rPr>
                <w:rFonts w:eastAsia="Times New Roman" w:cs="Times New Roman"/>
                <w:sz w:val="22"/>
                <w:szCs w:val="20"/>
                <w:lang w:eastAsia="ru-RU"/>
              </w:rPr>
              <w:t>13.  Мероприятия,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Мероприятия,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tc>
      </w:tr>
      <w:tr>
        <w:trPr>
          <w:trHeight w:val="3714" w:hRule="atLeast"/>
        </w:trPr>
        <w:tc>
          <w:tcPr>
            <w:tcW w:w="703" w:type="dxa"/>
            <w:tcBorders/>
            <w:shd w:fill="auto" w:val="clear"/>
          </w:tcPr>
          <w:p>
            <w:pPr>
              <w:pStyle w:val="Normal"/>
              <w:spacing w:lineRule="auto" w:line="240" w:before="0" w:after="0"/>
              <w:jc w:val="center"/>
              <w:rPr>
                <w:sz w:val="22"/>
                <w:szCs w:val="22"/>
              </w:rPr>
            </w:pPr>
            <w:r>
              <w:rPr>
                <w:rFonts w:eastAsia="Times New Roman" w:cs="Times New Roman"/>
                <w:sz w:val="22"/>
                <w:szCs w:val="22"/>
                <w:lang w:eastAsia="ru-RU"/>
              </w:rPr>
              <w:t>13.1.</w:t>
            </w:r>
          </w:p>
        </w:tc>
        <w:tc>
          <w:tcPr>
            <w:tcW w:w="4252"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Организация совместных закупок товаров, работ, услуг для обеспечения нужд исполнительных органов государственной власти Краснодарского края и государственных учреждений Краснодарского края</w:t>
            </w:r>
          </w:p>
        </w:tc>
        <w:tc>
          <w:tcPr>
            <w:tcW w:w="4109" w:type="dxa"/>
            <w:tcBorders/>
            <w:shd w:fill="auto" w:val="clear"/>
          </w:tcPr>
          <w:p>
            <w:pPr>
              <w:pStyle w:val="ConsPlusNormal"/>
              <w:spacing w:lineRule="auto" w:line="240" w:before="0" w:after="0"/>
              <w:jc w:val="both"/>
              <w:rPr/>
            </w:pPr>
            <w:hyperlink r:id="rId10">
              <w:r>
                <w:rPr>
                  <w:rStyle w:val="ListLabel11"/>
                  <w:rFonts w:eastAsia="Times New Roman" w:cs="Times New Roman" w:ascii="Times New Roman" w:hAnsi="Times New Roman"/>
                  <w:sz w:val="22"/>
                  <w:szCs w:val="20"/>
                  <w:lang w:eastAsia="ru-RU"/>
                </w:rPr>
                <w:t>план</w:t>
              </w:r>
            </w:hyperlink>
            <w:r>
              <w:rPr>
                <w:rFonts w:eastAsia="Times New Roman" w:cs="Times New Roman" w:ascii="Times New Roman" w:hAnsi="Times New Roman"/>
                <w:sz w:val="22"/>
                <w:szCs w:val="20"/>
                <w:lang w:eastAsia="ru-RU"/>
              </w:rPr>
              <w:t xml:space="preserve"> мероприятий по оптимизации расходов краевого бюджета, утвержденный распоряжением главы администрации (губернатора) Краснодарского края </w:t>
              <w:br/>
              <w:t>от 28 сентября 2018 г. № 255-р «Об утверждении Программы оздоровления государственных финансов Краснодарского края»</w:t>
            </w:r>
          </w:p>
        </w:tc>
        <w:tc>
          <w:tcPr>
            <w:tcW w:w="3686"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увеличение количества процедур определения поставщиков, осуществляемых путем проведения совместных закупок:</w:t>
            </w:r>
          </w:p>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в 2022 году - 90 процедур;</w:t>
            </w:r>
          </w:p>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в 2023 году - 110 процедур;</w:t>
            </w:r>
          </w:p>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в 2024 году - 130 процедур</w:t>
            </w:r>
          </w:p>
          <w:p>
            <w:pPr>
              <w:pStyle w:val="ConsPlusNormal"/>
              <w:spacing w:lineRule="auto" w:line="240" w:before="0" w:after="0"/>
              <w:jc w:val="both"/>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1845"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государственное казенное учреждение Краснодарского края «Дирекция государственных закупок»,</w:t>
            </w:r>
          </w:p>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органы исполнительной власти Краснодарского края,</w:t>
            </w:r>
          </w:p>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структурные подразделения администрации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13.2.</w:t>
            </w:r>
          </w:p>
        </w:tc>
        <w:tc>
          <w:tcPr>
            <w:tcW w:w="4252"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 xml:space="preserve">Увеличение доли закупок товаров, работ, услуг для обеспечения государственных нужд Краснодарского малого объема, осуществляемых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на электронных площадках, а также осуществляемых в соответствии с положениями части 12 статьи 93 Федерального закона от 5 апреля 2013 г. № 44-ФЗ </w:t>
              <w:br/>
              <w:t>«О контрактной системе в сфере закупок товаров, работ, услуг для обеспечения государственных и муниципальных нужд»</w:t>
            </w:r>
          </w:p>
        </w:tc>
        <w:tc>
          <w:tcPr>
            <w:tcW w:w="4109"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 xml:space="preserve">план мероприятий по оптимизации расходов краевого бюджета, утвержденный распоряжением главы администрации (губернатора) Краснодарского края </w:t>
              <w:br/>
              <w:t>от 28 сентября 2018 г. № 255-р «Об утверждении Программы оздоровления государственных финансов Краснодарского края»</w:t>
            </w:r>
          </w:p>
        </w:tc>
        <w:tc>
          <w:tcPr>
            <w:tcW w:w="3686"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 xml:space="preserve">доля закупок малого объема, осуществляемых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на электронных площадках, а также осуществляемых в соответствии с положениями части 12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в 2022 году - не менее 60 процентов; в 2023 году - не менее 65 процентов; в 2024 году - не менее 65 процентов</w:t>
            </w:r>
          </w:p>
        </w:tc>
        <w:tc>
          <w:tcPr>
            <w:tcW w:w="1845" w:type="dxa"/>
            <w:tcBorders/>
            <w:shd w:fill="auto" w:val="clear"/>
          </w:tcPr>
          <w:p>
            <w:pPr>
              <w:pStyle w:val="ConsPlusNormal"/>
              <w:spacing w:lineRule="auto" w:line="240"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ru-RU"/>
              </w:rPr>
              <w:t>заказчики Краснодарского края, осуществляющие закупки товаров, работ, услуг для обеспечения государственных нужд Краснодарского края</w:t>
            </w:r>
          </w:p>
        </w:tc>
      </w:tr>
      <w:tr>
        <w:trPr>
          <w:trHeight w:val="78" w:hRule="atLeast"/>
        </w:trPr>
        <w:tc>
          <w:tcPr>
            <w:tcW w:w="14595" w:type="dxa"/>
            <w:gridSpan w:val="5"/>
            <w:tcBorders/>
            <w:shd w:fill="auto" w:val="clear"/>
          </w:tcPr>
          <w:p>
            <w:pPr>
              <w:pStyle w:val="Normal"/>
              <w:spacing w:lineRule="auto" w:line="240" w:before="0" w:after="0"/>
              <w:ind w:left="29" w:hanging="0"/>
              <w:jc w:val="center"/>
              <w:rPr>
                <w:sz w:val="22"/>
              </w:rPr>
            </w:pPr>
            <w:r>
              <w:rPr>
                <w:rFonts w:eastAsia="Times New Roman" w:cs="Times New Roman"/>
                <w:sz w:val="22"/>
                <w:szCs w:val="20"/>
                <w:lang w:eastAsia="ru-RU"/>
              </w:rPr>
              <w:t>14. Мероприятия, направленные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14.1</w:t>
            </w:r>
          </w:p>
        </w:tc>
        <w:tc>
          <w:tcPr>
            <w:tcW w:w="4252" w:type="dxa"/>
            <w:tcBorders>
              <w:top w:val="nil"/>
            </w:tcBorders>
            <w:shd w:color="000000" w:fill="FFFFFF" w:val="clear"/>
          </w:tcPr>
          <w:p>
            <w:pPr>
              <w:pStyle w:val="Normal"/>
              <w:spacing w:lineRule="auto" w:line="240" w:before="0" w:after="0"/>
              <w:rPr>
                <w:sz w:val="22"/>
              </w:rPr>
            </w:pPr>
            <w:r>
              <w:rPr>
                <w:rFonts w:eastAsia="Times New Roman" w:cs="Times New Roman"/>
                <w:sz w:val="22"/>
                <w:szCs w:val="20"/>
                <w:lang w:eastAsia="ru-RU"/>
              </w:rPr>
              <w:t>Предоставление грантов в форме субсидий некоммерческим организациям, не являющимся казенными учреждениями, на реализацию конкретных региональных научно-технических и инновационных программ и проектов по выполнению фундаментальных, гуманитарных и иных научных исследований</w:t>
            </w:r>
          </w:p>
        </w:tc>
        <w:tc>
          <w:tcPr>
            <w:tcW w:w="4109" w:type="dxa"/>
            <w:tcBorders/>
            <w:shd w:fill="auto" w:val="clear"/>
          </w:tcPr>
          <w:p>
            <w:pPr>
              <w:pStyle w:val="Normal"/>
              <w:spacing w:lineRule="auto" w:line="240" w:before="0" w:after="0"/>
              <w:rPr>
                <w:sz w:val="22"/>
              </w:rPr>
            </w:pPr>
            <w:r>
              <w:rPr>
                <w:rFonts w:eastAsia="Times New Roman" w:cs="Times New Roman"/>
                <w:sz w:val="22"/>
                <w:szCs w:val="20"/>
                <w:lang w:eastAsia="ru-RU"/>
              </w:rPr>
              <w:t xml:space="preserve">государственная программа Краснодарского края «Развитие образования», утвержденная постановлением главы администрации (губернатора) Краснодарского края от 5 октября 2015 г. № 939 </w:t>
            </w:r>
          </w:p>
        </w:tc>
        <w:tc>
          <w:tcPr>
            <w:tcW w:w="3686" w:type="dxa"/>
            <w:tcBorders>
              <w:top w:val="nil"/>
            </w:tcBorders>
            <w:shd w:color="000000" w:fill="FFFFFF" w:val="clear"/>
          </w:tcPr>
          <w:p>
            <w:pPr>
              <w:pStyle w:val="Normal"/>
              <w:widowControl w:val="false"/>
              <w:spacing w:lineRule="auto" w:line="240" w:before="0" w:after="0"/>
              <w:rPr>
                <w:sz w:val="22"/>
              </w:rPr>
            </w:pPr>
            <w:r>
              <w:rPr>
                <w:rFonts w:eastAsia="Times New Roman" w:cs="Times New Roman"/>
                <w:sz w:val="22"/>
                <w:szCs w:val="20"/>
                <w:lang w:eastAsia="ru-RU"/>
              </w:rPr>
              <w:t>выплата не менее 90 грантов ежегодно; численность талантливых школьников, получивших поддержку в рамках конкурса «Наставник», не менее 40 человек</w:t>
            </w:r>
          </w:p>
        </w:tc>
        <w:tc>
          <w:tcPr>
            <w:tcW w:w="1845" w:type="dxa"/>
            <w:tcBorders>
              <w:top w:val="nil"/>
            </w:tcBorders>
            <w:shd w:color="auto" w:fill="auto" w:val="clear"/>
          </w:tcPr>
          <w:p>
            <w:pPr>
              <w:pStyle w:val="Normal"/>
              <w:widowControl w:val="false"/>
              <w:spacing w:lineRule="auto" w:line="240" w:before="0" w:after="0"/>
              <w:rPr>
                <w:sz w:val="22"/>
              </w:rPr>
            </w:pPr>
            <w:r>
              <w:rPr>
                <w:rFonts w:eastAsia="Times New Roman" w:cs="Times New Roman"/>
                <w:sz w:val="22"/>
                <w:szCs w:val="20"/>
                <w:lang w:eastAsia="ru-RU"/>
              </w:rPr>
              <w:t>министерство образования, науки и молодежной политики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14.2</w:t>
            </w:r>
          </w:p>
        </w:tc>
        <w:tc>
          <w:tcPr>
            <w:tcW w:w="4252" w:type="dxa"/>
            <w:tcBorders>
              <w:top w:val="nil"/>
            </w:tcBorders>
            <w:shd w:color="000000" w:fill="FFFFFF" w:val="clear"/>
          </w:tcPr>
          <w:p>
            <w:pPr>
              <w:pStyle w:val="Normal"/>
              <w:spacing w:lineRule="auto" w:line="240" w:before="0" w:after="0"/>
              <w:rPr>
                <w:color w:val="000000"/>
                <w:sz w:val="22"/>
              </w:rPr>
            </w:pPr>
            <w:r>
              <w:rPr>
                <w:rFonts w:eastAsia="Times New Roman" w:cs="Times New Roman"/>
                <w:color w:val="000000"/>
                <w:sz w:val="22"/>
                <w:szCs w:val="20"/>
                <w:lang w:eastAsia="ru-RU"/>
              </w:rPr>
              <w:t>Реализация мероприятий активной политики занятости населения, включая мероприятия по развитию трудовой мобильности</w:t>
            </w:r>
          </w:p>
        </w:tc>
        <w:tc>
          <w:tcPr>
            <w:tcW w:w="4109"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государственная программа Краснодарского края «Содействие занятости населения», утвержденная постановлением главы администрации (губернатора) Краснодарского края от 16 ноября 2015 г. № 1036</w:t>
            </w:r>
          </w:p>
          <w:p>
            <w:pPr>
              <w:pStyle w:val="Normal"/>
              <w:widowControl w:val="false"/>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3686" w:type="dxa"/>
            <w:tcBorders>
              <w:top w:val="nil"/>
            </w:tcBorders>
            <w:shd w:color="000000" w:fill="FFFFFF" w:val="clear"/>
          </w:tcPr>
          <w:p>
            <w:pPr>
              <w:pStyle w:val="Normal"/>
              <w:spacing w:lineRule="auto" w:line="240" w:before="0" w:after="0"/>
              <w:rPr>
                <w:sz w:val="22"/>
              </w:rPr>
            </w:pPr>
            <w:r>
              <w:rPr>
                <w:rFonts w:eastAsia="Times New Roman" w:cs="Times New Roman"/>
                <w:sz w:val="22"/>
                <w:szCs w:val="20"/>
                <w:lang w:eastAsia="ru-RU"/>
              </w:rPr>
              <w:t>развитие государственной службы занятости населения как эффективного посредника между работодателями и гражданами, ищущими работу;</w:t>
            </w:r>
          </w:p>
          <w:p>
            <w:pPr>
              <w:pStyle w:val="Normal"/>
              <w:spacing w:lineRule="auto" w:line="240" w:before="0" w:after="0"/>
              <w:rPr>
                <w:sz w:val="22"/>
              </w:rPr>
            </w:pPr>
            <w:r>
              <w:rPr>
                <w:rFonts w:eastAsia="Times New Roman" w:cs="Times New Roman"/>
                <w:sz w:val="22"/>
                <w:szCs w:val="20"/>
                <w:lang w:eastAsia="ru-RU"/>
              </w:rPr>
              <w:t>повышение мобильности трудовых ресурсов;</w:t>
            </w:r>
          </w:p>
          <w:p>
            <w:pPr>
              <w:pStyle w:val="Normal"/>
              <w:spacing w:lineRule="auto" w:line="240" w:before="0" w:after="0"/>
              <w:rPr>
                <w:sz w:val="22"/>
              </w:rPr>
            </w:pPr>
            <w:r>
              <w:rPr>
                <w:rFonts w:eastAsia="Times New Roman" w:cs="Times New Roman"/>
                <w:sz w:val="22"/>
                <w:szCs w:val="20"/>
                <w:lang w:eastAsia="ru-RU"/>
              </w:rPr>
              <w:t>обеспечение потребности экономики в рабочей силе;</w:t>
            </w:r>
          </w:p>
          <w:p>
            <w:pPr>
              <w:pStyle w:val="Normal"/>
              <w:spacing w:lineRule="auto" w:line="240" w:before="0" w:after="0"/>
              <w:rPr>
                <w:sz w:val="22"/>
              </w:rPr>
            </w:pPr>
            <w:r>
              <w:rPr>
                <w:rFonts w:eastAsia="Times New Roman" w:cs="Times New Roman"/>
                <w:sz w:val="22"/>
                <w:szCs w:val="20"/>
                <w:lang w:eastAsia="ru-RU"/>
              </w:rPr>
              <w:t>повышение доступности информации о рынке труда, профессиях, вакансиях, возможностях обучения для выпускников и обучающихся;</w:t>
            </w:r>
          </w:p>
          <w:p>
            <w:pPr>
              <w:pStyle w:val="Normal"/>
              <w:spacing w:lineRule="auto" w:line="240" w:before="0" w:after="0"/>
              <w:rPr>
                <w:sz w:val="22"/>
              </w:rPr>
            </w:pPr>
            <w:r>
              <w:rPr>
                <w:rFonts w:eastAsia="Times New Roman" w:cs="Times New Roman"/>
                <w:sz w:val="22"/>
                <w:szCs w:val="20"/>
                <w:lang w:eastAsia="ru-RU"/>
              </w:rPr>
              <w:t>повышение эффективности ярмарок вакансий и других услуг в сфере занятости, направленных на трудоустройство молодежи</w:t>
            </w:r>
          </w:p>
        </w:tc>
        <w:tc>
          <w:tcPr>
            <w:tcW w:w="1845" w:type="dxa"/>
            <w:tcBorders>
              <w:top w:val="nil"/>
            </w:tcBorders>
            <w:shd w:color="auto" w:fill="auto" w:val="clear"/>
          </w:tcPr>
          <w:p>
            <w:pPr>
              <w:pStyle w:val="Normal"/>
              <w:spacing w:lineRule="auto" w:line="240" w:before="0" w:after="0"/>
              <w:rPr>
                <w:sz w:val="22"/>
              </w:rPr>
            </w:pPr>
            <w:r>
              <w:rPr>
                <w:rFonts w:eastAsia="Times New Roman" w:cs="Times New Roman"/>
                <w:sz w:val="22"/>
                <w:szCs w:val="20"/>
                <w:lang w:eastAsia="ru-RU"/>
              </w:rPr>
              <w:t>министерство труда и социального развития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14.3</w:t>
            </w:r>
          </w:p>
        </w:tc>
        <w:tc>
          <w:tcPr>
            <w:tcW w:w="4252" w:type="dxa"/>
            <w:tcBorders>
              <w:top w:val="nil"/>
            </w:tcBorders>
            <w:shd w:color="000000" w:fill="FFFFFF" w:val="clear"/>
          </w:tcPr>
          <w:p>
            <w:pPr>
              <w:pStyle w:val="Normal"/>
              <w:spacing w:lineRule="auto" w:line="240" w:before="0" w:after="0"/>
              <w:rPr>
                <w:color w:val="000000"/>
                <w:sz w:val="22"/>
              </w:rPr>
            </w:pPr>
            <w:r>
              <w:rPr>
                <w:rFonts w:eastAsia="Times New Roman" w:cs="Times New Roman"/>
                <w:color w:val="000000"/>
                <w:sz w:val="22"/>
                <w:szCs w:val="20"/>
                <w:lang w:eastAsia="ru-RU"/>
              </w:rPr>
              <w:t>Организация и проведение конкурса лучших практик применения технологий бережливого производства «Путь к совершенству»</w:t>
            </w:r>
          </w:p>
        </w:tc>
        <w:tc>
          <w:tcPr>
            <w:tcW w:w="4109"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p>
            <w:pPr>
              <w:pStyle w:val="Normal"/>
              <w:widowControl w:val="false"/>
              <w:spacing w:lineRule="auto" w:line="240" w:before="0" w:after="0"/>
              <w:rPr>
                <w:sz w:val="22"/>
              </w:rPr>
            </w:pPr>
            <w:r>
              <w:rPr>
                <w:rFonts w:eastAsia="Times New Roman" w:cs="Times New Roman"/>
                <w:sz w:val="22"/>
                <w:szCs w:val="20"/>
                <w:lang w:eastAsia="ru-RU"/>
              </w:rPr>
              <w:t>паспорт национального проекта «Производительность труда»</w:t>
            </w:r>
          </w:p>
        </w:tc>
        <w:tc>
          <w:tcPr>
            <w:tcW w:w="3686" w:type="dxa"/>
            <w:tcBorders>
              <w:top w:val="nil"/>
            </w:tcBorders>
            <w:shd w:color="000000" w:fill="FFFFFF" w:val="clear"/>
          </w:tcPr>
          <w:p>
            <w:pPr>
              <w:pStyle w:val="Normal"/>
              <w:spacing w:lineRule="auto" w:line="240" w:before="0" w:after="0"/>
              <w:rPr>
                <w:sz w:val="22"/>
                <w:szCs w:val="22"/>
              </w:rPr>
            </w:pPr>
            <w:r>
              <w:rPr>
                <w:rFonts w:eastAsia="Times New Roman" w:cs="Times New Roman"/>
                <w:sz w:val="22"/>
                <w:szCs w:val="22"/>
                <w:lang w:eastAsia="ru-RU"/>
              </w:rPr>
              <w:t>проведение конкурса в целях повышения осведомленности о национальном проекте «Производительность труда» – 1 единица ежегодно</w:t>
            </w:r>
          </w:p>
          <w:p>
            <w:pPr>
              <w:pStyle w:val="Normal"/>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c>
          <w:tcPr>
            <w:tcW w:w="1845" w:type="dxa"/>
            <w:tcBorders>
              <w:top w:val="nil"/>
            </w:tcBorders>
            <w:shd w:color="auto" w:fill="auto" w:val="clear"/>
          </w:tcPr>
          <w:p>
            <w:pPr>
              <w:pStyle w:val="Normal"/>
              <w:spacing w:lineRule="auto" w:line="240" w:before="0" w:after="0"/>
              <w:rPr>
                <w:sz w:val="22"/>
                <w:szCs w:val="22"/>
              </w:rPr>
            </w:pPr>
            <w:r>
              <w:rPr>
                <w:rFonts w:eastAsia="Times New Roman" w:cs="Times New Roman"/>
                <w:sz w:val="22"/>
                <w:szCs w:val="22"/>
                <w:lang w:eastAsia="ru-RU"/>
              </w:rPr>
              <w:t>министерство экономики Краснодарского края</w:t>
            </w:r>
          </w:p>
          <w:p>
            <w:pPr>
              <w:pStyle w:val="Normal"/>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14.4</w:t>
            </w:r>
          </w:p>
        </w:tc>
        <w:tc>
          <w:tcPr>
            <w:tcW w:w="4252" w:type="dxa"/>
            <w:tcBorders>
              <w:top w:val="nil"/>
            </w:tcBorders>
            <w:shd w:color="000000" w:fill="FFFFFF" w:val="clear"/>
          </w:tcPr>
          <w:p>
            <w:pPr>
              <w:pStyle w:val="Normal"/>
              <w:spacing w:lineRule="auto" w:line="240" w:before="0" w:after="0"/>
              <w:rPr>
                <w:color w:val="000000"/>
                <w:sz w:val="22"/>
              </w:rPr>
            </w:pPr>
            <w:r>
              <w:rPr>
                <w:rFonts w:eastAsia="Times New Roman" w:cs="Times New Roman"/>
                <w:color w:val="000000"/>
                <w:sz w:val="22"/>
                <w:szCs w:val="20"/>
                <w:lang w:eastAsia="ru-RU"/>
              </w:rPr>
              <w:t>Организация и проведение конкурса «Лучшие практики наставничества Краснодарского края»</w:t>
            </w:r>
          </w:p>
        </w:tc>
        <w:tc>
          <w:tcPr>
            <w:tcW w:w="4109"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p>
            <w:pPr>
              <w:pStyle w:val="Normal"/>
              <w:widowControl w:val="false"/>
              <w:spacing w:lineRule="auto" w:line="240" w:before="0" w:after="0"/>
              <w:rPr>
                <w:sz w:val="22"/>
              </w:rPr>
            </w:pPr>
            <w:r>
              <w:rPr>
                <w:rFonts w:eastAsia="Times New Roman" w:cs="Times New Roman"/>
                <w:sz w:val="22"/>
                <w:szCs w:val="20"/>
                <w:lang w:eastAsia="ru-RU"/>
              </w:rPr>
              <w:t>паспорт национального проекта «Производительность труда»</w:t>
            </w:r>
          </w:p>
        </w:tc>
        <w:tc>
          <w:tcPr>
            <w:tcW w:w="3686" w:type="dxa"/>
            <w:tcBorders>
              <w:top w:val="nil"/>
            </w:tcBorders>
            <w:shd w:color="000000" w:fill="FFFFFF" w:val="clear"/>
          </w:tcPr>
          <w:p>
            <w:pPr>
              <w:pStyle w:val="Normal"/>
              <w:spacing w:lineRule="auto" w:line="240" w:before="0" w:after="0"/>
              <w:rPr>
                <w:sz w:val="22"/>
              </w:rPr>
            </w:pPr>
            <w:r>
              <w:rPr>
                <w:rFonts w:eastAsia="Times New Roman" w:cs="Times New Roman"/>
                <w:sz w:val="22"/>
                <w:szCs w:val="22"/>
                <w:lang w:eastAsia="ru-RU"/>
              </w:rPr>
              <w:t>проведение конкурса в целях повышения осведомленности о национальном проекте «Производительность труда» – 1 единица ежегодно</w:t>
            </w:r>
          </w:p>
        </w:tc>
        <w:tc>
          <w:tcPr>
            <w:tcW w:w="1845" w:type="dxa"/>
            <w:tcBorders>
              <w:top w:val="nil"/>
            </w:tcBorders>
            <w:shd w:color="auto" w:fill="auto" w:val="clear"/>
          </w:tcPr>
          <w:p>
            <w:pPr>
              <w:pStyle w:val="Normal"/>
              <w:spacing w:lineRule="auto" w:line="240" w:before="0" w:after="0"/>
              <w:rPr>
                <w:sz w:val="22"/>
                <w:szCs w:val="22"/>
              </w:rPr>
            </w:pPr>
            <w:r>
              <w:rPr>
                <w:rFonts w:eastAsia="Times New Roman" w:cs="Times New Roman"/>
                <w:sz w:val="22"/>
                <w:szCs w:val="22"/>
                <w:lang w:eastAsia="ru-RU"/>
              </w:rPr>
              <w:t>министерство экономики Краснодарского края</w:t>
            </w:r>
          </w:p>
          <w:p>
            <w:pPr>
              <w:pStyle w:val="Normal"/>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r>
      <w:tr>
        <w:trPr>
          <w:trHeight w:val="2977"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14.5</w:t>
            </w:r>
          </w:p>
        </w:tc>
        <w:tc>
          <w:tcPr>
            <w:tcW w:w="4252" w:type="dxa"/>
            <w:tcBorders>
              <w:top w:val="nil"/>
            </w:tcBorders>
            <w:shd w:color="000000" w:fill="FFFFFF" w:val="clear"/>
          </w:tcPr>
          <w:p>
            <w:pPr>
              <w:pStyle w:val="Normal"/>
              <w:spacing w:lineRule="auto" w:line="240" w:before="0" w:after="0"/>
              <w:rPr>
                <w:color w:val="000000"/>
                <w:sz w:val="22"/>
              </w:rPr>
            </w:pPr>
            <w:r>
              <w:rPr>
                <w:rFonts w:eastAsia="Times New Roman" w:cs="Times New Roman"/>
                <w:color w:val="000000"/>
                <w:sz w:val="22"/>
                <w:szCs w:val="20"/>
                <w:lang w:eastAsia="ru-RU"/>
              </w:rPr>
              <w:t>Предоставление субсидии автономной некоммерческой организации «Центр компетенций в сфере производительности труда Краснодарского края» (далее – РЦК) в целях предоставления информационных, консультационных услуг, способствующих реализации инновационных проектов в сфере повышения производительности труда на территории Краснодарского края в рамках реализации мероприятий национального проекта «Производительность труда»</w:t>
            </w:r>
          </w:p>
        </w:tc>
        <w:tc>
          <w:tcPr>
            <w:tcW w:w="4109"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p>
            <w:pPr>
              <w:pStyle w:val="Normal"/>
              <w:widowControl w:val="false"/>
              <w:spacing w:lineRule="auto" w:line="240" w:before="0" w:after="0"/>
              <w:rPr>
                <w:sz w:val="22"/>
              </w:rPr>
            </w:pPr>
            <w:r>
              <w:rPr>
                <w:rFonts w:eastAsia="Times New Roman" w:cs="Times New Roman"/>
                <w:sz w:val="22"/>
                <w:szCs w:val="20"/>
                <w:lang w:eastAsia="ru-RU"/>
              </w:rPr>
              <w:t>паспорт национального проекта «Производительность труда»</w:t>
            </w:r>
          </w:p>
        </w:tc>
        <w:tc>
          <w:tcPr>
            <w:tcW w:w="3686" w:type="dxa"/>
            <w:tcBorders>
              <w:top w:val="nil"/>
            </w:tcBorders>
            <w:shd w:color="000000" w:fill="FFFFFF" w:val="clear"/>
          </w:tcPr>
          <w:p>
            <w:pPr>
              <w:pStyle w:val="Normal"/>
              <w:spacing w:lineRule="auto" w:line="240" w:before="0" w:after="0"/>
              <w:rPr>
                <w:sz w:val="22"/>
                <w:szCs w:val="22"/>
              </w:rPr>
            </w:pPr>
            <w:r>
              <w:rPr>
                <w:rFonts w:eastAsia="Times New Roman" w:cs="Times New Roman"/>
                <w:sz w:val="22"/>
                <w:szCs w:val="22"/>
                <w:lang w:eastAsia="ru-RU"/>
              </w:rPr>
              <w:t>количество предприятий, внедряющих инновационные проекты в сфере повышения производительности труда под региональным управлением (с РЦК) – количество предприятий, внедряющих инновационные проекты в сфере повышения производительности труда под региональным управлением (с РЦК):</w:t>
            </w:r>
          </w:p>
          <w:p>
            <w:pPr>
              <w:pStyle w:val="Normal"/>
              <w:spacing w:lineRule="auto" w:line="240" w:before="0" w:after="0"/>
              <w:rPr>
                <w:sz w:val="22"/>
                <w:szCs w:val="22"/>
              </w:rPr>
            </w:pPr>
            <w:r>
              <w:rPr>
                <w:rFonts w:eastAsia="Times New Roman" w:cs="Times New Roman"/>
                <w:sz w:val="22"/>
                <w:szCs w:val="22"/>
                <w:lang w:eastAsia="ru-RU"/>
              </w:rPr>
              <w:t>2022 год – не менее 46 единиц;</w:t>
            </w:r>
          </w:p>
          <w:p>
            <w:pPr>
              <w:pStyle w:val="Normal"/>
              <w:spacing w:lineRule="auto" w:line="240" w:before="0" w:after="0"/>
              <w:rPr>
                <w:sz w:val="24"/>
                <w:szCs w:val="24"/>
              </w:rPr>
            </w:pPr>
            <w:r>
              <w:rPr>
                <w:rFonts w:eastAsia="Times New Roman" w:cs="Times New Roman"/>
                <w:sz w:val="22"/>
                <w:szCs w:val="22"/>
                <w:lang w:eastAsia="ru-RU"/>
              </w:rPr>
              <w:t>2023 год – не менее 50 единиц</w:t>
            </w:r>
          </w:p>
        </w:tc>
        <w:tc>
          <w:tcPr>
            <w:tcW w:w="1845" w:type="dxa"/>
            <w:tcBorders>
              <w:top w:val="nil"/>
            </w:tcBorders>
            <w:shd w:color="auto" w:fill="auto" w:val="clear"/>
          </w:tcPr>
          <w:p>
            <w:pPr>
              <w:pStyle w:val="Normal"/>
              <w:spacing w:lineRule="auto" w:line="240" w:before="0" w:after="0"/>
              <w:rPr>
                <w:sz w:val="22"/>
                <w:szCs w:val="22"/>
              </w:rPr>
            </w:pPr>
            <w:r>
              <w:rPr>
                <w:rFonts w:eastAsia="Times New Roman" w:cs="Times New Roman"/>
                <w:sz w:val="22"/>
                <w:szCs w:val="22"/>
                <w:lang w:eastAsia="ru-RU"/>
              </w:rPr>
              <w:t>министерство экономики Краснодарского края</w:t>
            </w:r>
          </w:p>
          <w:p>
            <w:pPr>
              <w:pStyle w:val="Normal"/>
              <w:spacing w:lineRule="auto" w:line="240" w:before="0" w:after="0"/>
              <w:rPr>
                <w:rFonts w:ascii="Times New Roman" w:hAnsi="Times New Roman" w:eastAsia="Times New Roman" w:cs="Times New Roman"/>
                <w:sz w:val="22"/>
                <w:szCs w:val="20"/>
                <w:lang w:eastAsia="ru-RU"/>
              </w:rPr>
            </w:pPr>
            <w:r>
              <w:rPr>
                <w:rFonts w:eastAsia="Times New Roman" w:cs="Times New Roman"/>
                <w:sz w:val="22"/>
                <w:szCs w:val="20"/>
                <w:lang w:eastAsia="ru-RU"/>
              </w:rPr>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14.6</w:t>
            </w:r>
          </w:p>
        </w:tc>
        <w:tc>
          <w:tcPr>
            <w:tcW w:w="4252" w:type="dxa"/>
            <w:tcBorders>
              <w:top w:val="nil"/>
            </w:tcBorders>
            <w:shd w:color="000000" w:fill="FFFFFF" w:val="clear"/>
          </w:tcPr>
          <w:p>
            <w:pPr>
              <w:pStyle w:val="Normal"/>
              <w:spacing w:lineRule="auto" w:line="240" w:before="0" w:after="0"/>
              <w:rPr>
                <w:color w:val="000000"/>
                <w:sz w:val="22"/>
              </w:rPr>
            </w:pPr>
            <w:r>
              <w:rPr>
                <w:rFonts w:eastAsia="Times New Roman" w:cs="Times New Roman"/>
                <w:color w:val="000000"/>
                <w:sz w:val="22"/>
                <w:szCs w:val="20"/>
                <w:lang w:eastAsia="ru-RU"/>
              </w:rPr>
              <w:t>Предоставление субсидии автономной некоммерческой организации «Центр компетенций в сфере производительности труда Краснодарского края» в целях предоставления информационных, консультационных услуг, способствующих реализации инновационных проектов в сфере повышения производительности труда на территории Краснодарского края, за исключением мероприятий, реализуемых в рамках национального проекта «Производительность труда»</w:t>
            </w:r>
          </w:p>
        </w:tc>
        <w:tc>
          <w:tcPr>
            <w:tcW w:w="4109" w:type="dxa"/>
            <w:tcBorders/>
            <w:shd w:fill="auto" w:val="clear"/>
          </w:tcPr>
          <w:p>
            <w:pPr>
              <w:pStyle w:val="Normal"/>
              <w:widowControl w:val="false"/>
              <w:spacing w:lineRule="auto" w:line="240" w:before="0" w:after="0"/>
              <w:rPr>
                <w:sz w:val="22"/>
              </w:rPr>
            </w:pPr>
            <w:r>
              <w:rPr>
                <w:rFonts w:eastAsia="Times New Roman" w:cs="Times New Roman"/>
                <w:sz w:val="22"/>
                <w:szCs w:val="20"/>
                <w:lang w:eastAsia="ru-RU"/>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tc>
        <w:tc>
          <w:tcPr>
            <w:tcW w:w="3686" w:type="dxa"/>
            <w:tcBorders>
              <w:top w:val="nil"/>
            </w:tcBorders>
            <w:shd w:color="000000" w:fill="FFFFFF" w:val="clear"/>
          </w:tcPr>
          <w:p>
            <w:pPr>
              <w:pStyle w:val="Normal"/>
              <w:spacing w:lineRule="auto" w:line="240" w:before="0" w:after="0"/>
              <w:rPr>
                <w:sz w:val="22"/>
                <w:szCs w:val="22"/>
              </w:rPr>
            </w:pPr>
            <w:r>
              <w:rPr>
                <w:rFonts w:eastAsia="Times New Roman" w:cs="Times New Roman"/>
                <w:sz w:val="22"/>
                <w:szCs w:val="22"/>
                <w:lang w:eastAsia="ru-RU"/>
              </w:rPr>
              <w:t>количество комплексных информационных, консультационных услуг, способствующих реализации инновационных проектов в сфере повышения производительности труда – не менее 20 единиц ежегодно;</w:t>
            </w:r>
          </w:p>
          <w:p>
            <w:pPr>
              <w:pStyle w:val="Normal"/>
              <w:spacing w:lineRule="auto" w:line="240" w:before="0" w:after="0"/>
              <w:rPr>
                <w:sz w:val="22"/>
                <w:szCs w:val="22"/>
              </w:rPr>
            </w:pPr>
            <w:r>
              <w:rPr>
                <w:rFonts w:eastAsia="Times New Roman" w:cs="Times New Roman"/>
                <w:sz w:val="22"/>
                <w:szCs w:val="22"/>
                <w:lang w:eastAsia="ru-RU"/>
              </w:rPr>
              <w:t>количество комплексных информационных, консультационных услуг, способствующих реализации инновационных проектов («Развитие Южного экспортно-импортного хаба») – не менее 20 единиц ежегодно;</w:t>
            </w:r>
          </w:p>
          <w:p>
            <w:pPr>
              <w:pStyle w:val="Normal"/>
              <w:spacing w:lineRule="auto" w:line="240" w:before="0" w:after="0"/>
              <w:rPr>
                <w:sz w:val="22"/>
                <w:szCs w:val="22"/>
              </w:rPr>
            </w:pPr>
            <w:r>
              <w:rPr>
                <w:rFonts w:eastAsia="Times New Roman" w:cs="Times New Roman"/>
                <w:sz w:val="22"/>
                <w:szCs w:val="22"/>
                <w:lang w:eastAsia="ru-RU"/>
              </w:rPr>
              <w:t>количество комплексных информационных, консультационных услуг, способствующих реализации инновационных проектов в сфере производительности труда в приоритетных экономических комплексах – не менее 7 единиц ежегодно;</w:t>
            </w:r>
          </w:p>
          <w:p>
            <w:pPr>
              <w:pStyle w:val="Normal"/>
              <w:spacing w:lineRule="auto" w:line="240" w:before="0" w:after="0"/>
              <w:rPr>
                <w:sz w:val="22"/>
                <w:szCs w:val="22"/>
              </w:rPr>
            </w:pPr>
            <w:r>
              <w:rPr>
                <w:rFonts w:eastAsia="Times New Roman" w:cs="Times New Roman"/>
                <w:sz w:val="22"/>
                <w:szCs w:val="22"/>
                <w:lang w:eastAsia="ru-RU"/>
              </w:rPr>
              <w:t>количество проведенных обучающих мероприятий в сфере реализации инновационных проектов в сфере производительности труда – не менее 7 единиц ежегодно</w:t>
            </w:r>
          </w:p>
        </w:tc>
        <w:tc>
          <w:tcPr>
            <w:tcW w:w="1845" w:type="dxa"/>
            <w:tcBorders>
              <w:top w:val="nil"/>
            </w:tcBorders>
            <w:shd w:color="auto" w:fill="auto" w:val="clear"/>
          </w:tcPr>
          <w:p>
            <w:pPr>
              <w:pStyle w:val="Normal"/>
              <w:spacing w:lineRule="auto" w:line="240" w:before="0" w:after="0"/>
              <w:rPr>
                <w:sz w:val="22"/>
              </w:rPr>
            </w:pPr>
            <w:r>
              <w:rPr>
                <w:rFonts w:eastAsia="Times New Roman" w:cs="Times New Roman"/>
                <w:sz w:val="22"/>
                <w:szCs w:val="22"/>
                <w:lang w:eastAsia="ru-RU"/>
              </w:rPr>
              <w:t>министерство экономики Краснодарского края</w:t>
            </w:r>
          </w:p>
        </w:tc>
      </w:tr>
      <w:tr>
        <w:trPr>
          <w:trHeight w:val="78" w:hRule="atLeast"/>
        </w:trPr>
        <w:tc>
          <w:tcPr>
            <w:tcW w:w="14595" w:type="dxa"/>
            <w:gridSpan w:val="5"/>
            <w:tcBorders/>
            <w:shd w:fill="auto" w:val="clear"/>
          </w:tcPr>
          <w:p>
            <w:pPr>
              <w:pStyle w:val="Normal"/>
              <w:widowControl w:val="false"/>
              <w:spacing w:lineRule="auto" w:line="240" w:before="0" w:after="0"/>
              <w:jc w:val="center"/>
              <w:rPr>
                <w:sz w:val="22"/>
              </w:rPr>
            </w:pPr>
            <w:r>
              <w:rPr>
                <w:rFonts w:eastAsia="Times New Roman" w:cs="Times New Roman"/>
                <w:sz w:val="22"/>
                <w:szCs w:val="20"/>
                <w:lang w:eastAsia="ru-RU"/>
              </w:rPr>
              <w:t>15. Мероприятия, направленные на содействие созданию и развитие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15.1</w:t>
            </w:r>
          </w:p>
        </w:tc>
        <w:tc>
          <w:tcPr>
            <w:tcW w:w="4252" w:type="dxa"/>
            <w:tcBorders>
              <w:top w:val="nil"/>
            </w:tcBorders>
            <w:shd w:color="000000" w:fill="FFFFFF" w:val="clear"/>
          </w:tcPr>
          <w:p>
            <w:pPr>
              <w:pStyle w:val="Normal"/>
              <w:widowControl w:val="false"/>
              <w:spacing w:lineRule="auto" w:line="240" w:before="0" w:after="0"/>
              <w:rPr>
                <w:sz w:val="22"/>
                <w:szCs w:val="22"/>
              </w:rPr>
            </w:pPr>
            <w:r>
              <w:rPr>
                <w:rFonts w:eastAsia="Times New Roman" w:cs="Times New Roman"/>
                <w:sz w:val="22"/>
                <w:szCs w:val="22"/>
                <w:lang w:eastAsia="ru-RU"/>
              </w:rPr>
              <w:t>Предоставление субсидий унитарной некоммерческой организации «Фонд развития инноваций Краснодарского края» на обеспечение ее деятельности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tc>
        <w:tc>
          <w:tcPr>
            <w:tcW w:w="4109" w:type="dxa"/>
            <w:tcBorders/>
            <w:shd w:fill="auto" w:val="clear"/>
          </w:tcPr>
          <w:p>
            <w:pPr>
              <w:pStyle w:val="Normal"/>
              <w:spacing w:lineRule="auto" w:line="240" w:before="0" w:after="0"/>
              <w:rPr>
                <w:sz w:val="22"/>
                <w:szCs w:val="22"/>
              </w:rPr>
            </w:pPr>
            <w:r>
              <w:rPr>
                <w:rFonts w:eastAsia="Times New Roman" w:cs="Times New Roman"/>
                <w:sz w:val="22"/>
                <w:szCs w:val="22"/>
                <w:lang w:eastAsia="ru-RU"/>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p>
            <w:pPr>
              <w:pStyle w:val="Normal"/>
              <w:spacing w:lineRule="auto" w:line="240" w:before="0" w:after="0"/>
              <w:rPr>
                <w:sz w:val="22"/>
                <w:szCs w:val="22"/>
              </w:rPr>
            </w:pPr>
            <w:r>
              <w:rPr>
                <w:rFonts w:eastAsia="Times New Roman" w:cs="Times New Roman"/>
                <w:sz w:val="22"/>
                <w:szCs w:val="22"/>
                <w:lang w:eastAsia="ru-RU"/>
              </w:rPr>
              <w:t>паспорт регионального проекта «Акселерация субъектов малого и среднего предпринимательства»</w:t>
            </w:r>
          </w:p>
        </w:tc>
        <w:tc>
          <w:tcPr>
            <w:tcW w:w="3686" w:type="dxa"/>
            <w:tcBorders>
              <w:top w:val="nil"/>
            </w:tcBorders>
            <w:shd w:color="000000" w:fill="FFFFFF" w:val="clear"/>
          </w:tcPr>
          <w:p>
            <w:pPr>
              <w:pStyle w:val="Normal"/>
              <w:spacing w:lineRule="auto" w:line="240" w:before="0" w:after="0"/>
              <w:rPr>
                <w:sz w:val="22"/>
                <w:szCs w:val="22"/>
              </w:rPr>
            </w:pPr>
            <w:r>
              <w:rPr>
                <w:rFonts w:eastAsia="Times New Roman" w:cs="Times New Roman"/>
                <w:sz w:val="22"/>
                <w:szCs w:val="22"/>
                <w:lang w:eastAsia="ru-RU"/>
              </w:rPr>
              <w:t xml:space="preserve">количество субъектов МСП, являющихся субъектами инновационной деятельности, а также физических лиц - субъектов инновационной деятельности, </w:t>
            </w:r>
          </w:p>
          <w:p>
            <w:pPr>
              <w:pStyle w:val="Normal"/>
              <w:spacing w:lineRule="auto" w:line="240" w:before="0" w:after="0"/>
              <w:rPr>
                <w:sz w:val="22"/>
                <w:szCs w:val="22"/>
              </w:rPr>
            </w:pPr>
            <w:r>
              <w:rPr>
                <w:rFonts w:eastAsia="Times New Roman" w:cs="Times New Roman"/>
                <w:sz w:val="22"/>
                <w:szCs w:val="22"/>
                <w:lang w:eastAsia="ru-RU"/>
              </w:rPr>
              <w:t xml:space="preserve">не являющихся индивидуальными предпринимателями и применяющих специальный налоговый режим «Налог на профессиональный доход», получивших поддержку: </w:t>
            </w:r>
          </w:p>
          <w:p>
            <w:pPr>
              <w:pStyle w:val="Normal"/>
              <w:spacing w:lineRule="auto" w:line="240" w:before="0" w:after="0"/>
              <w:rPr>
                <w:sz w:val="22"/>
                <w:szCs w:val="22"/>
              </w:rPr>
            </w:pPr>
            <w:r>
              <w:rPr>
                <w:rFonts w:eastAsia="Times New Roman" w:cs="Times New Roman"/>
                <w:sz w:val="22"/>
                <w:szCs w:val="22"/>
                <w:lang w:eastAsia="ru-RU"/>
              </w:rPr>
              <w:t xml:space="preserve">в 2022 году - 130 единиц; </w:t>
            </w:r>
          </w:p>
          <w:p>
            <w:pPr>
              <w:pStyle w:val="Normal"/>
              <w:spacing w:lineRule="auto" w:line="240" w:before="0" w:after="0"/>
              <w:rPr>
                <w:sz w:val="22"/>
                <w:szCs w:val="22"/>
              </w:rPr>
            </w:pPr>
            <w:r>
              <w:rPr>
                <w:rFonts w:eastAsia="Times New Roman" w:cs="Times New Roman"/>
                <w:sz w:val="22"/>
                <w:szCs w:val="22"/>
                <w:lang w:eastAsia="ru-RU"/>
              </w:rPr>
              <w:t xml:space="preserve">в 2023 году - 130 единиц; </w:t>
            </w:r>
          </w:p>
          <w:p>
            <w:pPr>
              <w:pStyle w:val="Normal"/>
              <w:spacing w:lineRule="auto" w:line="240" w:before="0" w:after="0"/>
              <w:rPr>
                <w:sz w:val="22"/>
                <w:szCs w:val="22"/>
              </w:rPr>
            </w:pPr>
            <w:r>
              <w:rPr>
                <w:rFonts w:eastAsia="Times New Roman" w:cs="Times New Roman"/>
                <w:sz w:val="22"/>
                <w:szCs w:val="22"/>
                <w:lang w:eastAsia="ru-RU"/>
              </w:rPr>
              <w:t xml:space="preserve">в 2024 году - 130 единиц; </w:t>
            </w:r>
          </w:p>
          <w:p>
            <w:pPr>
              <w:pStyle w:val="Normal"/>
              <w:spacing w:lineRule="auto" w:line="240" w:before="0" w:after="0"/>
              <w:rPr>
                <w:sz w:val="22"/>
                <w:szCs w:val="22"/>
              </w:rPr>
            </w:pPr>
            <w:r>
              <w:rPr>
                <w:rFonts w:eastAsia="Times New Roman" w:cs="Times New Roman"/>
                <w:sz w:val="22"/>
                <w:szCs w:val="22"/>
                <w:lang w:eastAsia="ru-RU"/>
              </w:rPr>
              <w:t>количество физических лиц, являющихся субъектами инновационной деятельности, заинтересованных в начале осуществления предпринимательской деятельности, получивших поддержку, человек:</w:t>
            </w:r>
          </w:p>
          <w:p>
            <w:pPr>
              <w:pStyle w:val="Normal"/>
              <w:spacing w:lineRule="auto" w:line="240" w:before="0" w:after="0"/>
              <w:rPr>
                <w:sz w:val="22"/>
                <w:szCs w:val="22"/>
              </w:rPr>
            </w:pPr>
            <w:r>
              <w:rPr>
                <w:rFonts w:eastAsia="Times New Roman" w:cs="Times New Roman"/>
                <w:sz w:val="22"/>
                <w:szCs w:val="22"/>
                <w:lang w:eastAsia="ru-RU"/>
              </w:rPr>
              <w:t>в 2022 году - 50;</w:t>
            </w:r>
          </w:p>
          <w:p>
            <w:pPr>
              <w:pStyle w:val="Normal"/>
              <w:spacing w:lineRule="auto" w:line="240" w:before="0" w:after="0"/>
              <w:rPr>
                <w:sz w:val="22"/>
                <w:szCs w:val="22"/>
              </w:rPr>
            </w:pPr>
            <w:r>
              <w:rPr>
                <w:rFonts w:eastAsia="Times New Roman" w:cs="Times New Roman"/>
                <w:sz w:val="22"/>
                <w:szCs w:val="22"/>
                <w:lang w:eastAsia="ru-RU"/>
              </w:rPr>
              <w:t>в 2023 году - 50;</w:t>
            </w:r>
          </w:p>
          <w:p>
            <w:pPr>
              <w:pStyle w:val="Normal"/>
              <w:spacing w:lineRule="auto" w:line="240" w:before="0" w:after="0"/>
              <w:rPr>
                <w:sz w:val="22"/>
                <w:szCs w:val="22"/>
              </w:rPr>
            </w:pPr>
            <w:r>
              <w:rPr>
                <w:rFonts w:eastAsia="Times New Roman" w:cs="Times New Roman"/>
                <w:sz w:val="22"/>
                <w:szCs w:val="22"/>
                <w:lang w:eastAsia="ru-RU"/>
              </w:rPr>
              <w:t>в 2024 году - 50</w:t>
            </w:r>
          </w:p>
        </w:tc>
        <w:tc>
          <w:tcPr>
            <w:tcW w:w="1845" w:type="dxa"/>
            <w:tcBorders>
              <w:top w:val="nil"/>
            </w:tcBorders>
            <w:shd w:color="auto" w:fill="auto" w:val="clear"/>
          </w:tcPr>
          <w:p>
            <w:pPr>
              <w:pStyle w:val="Normal"/>
              <w:spacing w:lineRule="auto" w:line="240" w:before="0" w:after="0"/>
              <w:rPr>
                <w:sz w:val="22"/>
                <w:szCs w:val="22"/>
              </w:rPr>
            </w:pPr>
            <w:r>
              <w:rPr>
                <w:rFonts w:eastAsia="Times New Roman" w:cs="Times New Roman"/>
                <w:sz w:val="22"/>
                <w:szCs w:val="22"/>
                <w:lang w:eastAsia="ru-RU"/>
              </w:rPr>
              <w:t>департамент инвестиций и развития малого и среднего предпринимательства Краснодарского края</w:t>
            </w:r>
          </w:p>
        </w:tc>
      </w:tr>
      <w:tr>
        <w:trPr>
          <w:trHeight w:val="360" w:hRule="atLeast"/>
        </w:trPr>
        <w:tc>
          <w:tcPr>
            <w:tcW w:w="14595" w:type="dxa"/>
            <w:gridSpan w:val="5"/>
            <w:tcBorders/>
            <w:shd w:fill="auto" w:val="clear"/>
          </w:tcPr>
          <w:p>
            <w:pPr>
              <w:pStyle w:val="Normal"/>
              <w:spacing w:lineRule="auto" w:line="240" w:before="0" w:after="0"/>
              <w:ind w:right="-28" w:hanging="0"/>
              <w:jc w:val="center"/>
              <w:rPr>
                <w:sz w:val="22"/>
              </w:rPr>
            </w:pPr>
            <w:r>
              <w:rPr>
                <w:rFonts w:eastAsia="Times New Roman" w:cs="Times New Roman"/>
                <w:sz w:val="22"/>
                <w:szCs w:val="20"/>
                <w:lang w:eastAsia="ru-RU"/>
              </w:rPr>
              <w:t>16. Мероприятия, направленные на развитие конкурентоспособности товаров, работ, услуг субъектов малого и среднего предпринимательства</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16.1</w:t>
            </w:r>
          </w:p>
        </w:tc>
        <w:tc>
          <w:tcPr>
            <w:tcW w:w="4252" w:type="dxa"/>
            <w:tcBorders/>
            <w:shd w:color="000000" w:fill="FFFFFF" w:val="clear"/>
          </w:tcPr>
          <w:p>
            <w:pPr>
              <w:pStyle w:val="Normal"/>
              <w:spacing w:lineRule="auto" w:line="240" w:before="0" w:after="0"/>
              <w:rPr>
                <w:sz w:val="22"/>
                <w:szCs w:val="22"/>
              </w:rPr>
            </w:pPr>
            <w:r>
              <w:rPr>
                <w:rFonts w:eastAsia="Times New Roman" w:cs="Times New Roman"/>
                <w:sz w:val="22"/>
                <w:szCs w:val="22"/>
                <w:lang w:eastAsia="ru-RU"/>
              </w:rPr>
              <w:t>Развитие (модернизация), сопровождение (обслуживание) специализированных информационных ресурсов и сети «Интернет» в целях оказания информационной поддержки субъектам малого и среднего предпринимательства на территории Краснодарского края в рамках реализации мероприятий регионального проекта «Акселерация субъектов малого и среднего предпринимательства»</w:t>
            </w:r>
          </w:p>
        </w:tc>
        <w:tc>
          <w:tcPr>
            <w:tcW w:w="4109" w:type="dxa"/>
            <w:tcBorders/>
            <w:shd w:fill="auto" w:val="clear"/>
          </w:tcPr>
          <w:p>
            <w:pPr>
              <w:pStyle w:val="Normal"/>
              <w:spacing w:lineRule="auto" w:line="240" w:before="0" w:after="0"/>
              <w:rPr>
                <w:sz w:val="22"/>
                <w:szCs w:val="22"/>
              </w:rPr>
            </w:pPr>
            <w:r>
              <w:rPr>
                <w:rFonts w:eastAsia="Times New Roman" w:cs="Times New Roman"/>
                <w:sz w:val="22"/>
                <w:szCs w:val="22"/>
                <w:lang w:eastAsia="ru-RU"/>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p>
            <w:pPr>
              <w:pStyle w:val="Normal"/>
              <w:spacing w:lineRule="auto" w:line="240" w:before="0" w:after="0"/>
              <w:rPr>
                <w:sz w:val="22"/>
                <w:szCs w:val="22"/>
              </w:rPr>
            </w:pPr>
            <w:r>
              <w:rPr>
                <w:rFonts w:eastAsia="Times New Roman" w:cs="Times New Roman"/>
                <w:sz w:val="22"/>
                <w:szCs w:val="22"/>
                <w:lang w:eastAsia="ru-RU"/>
              </w:rPr>
              <w:t>паспорт регионального проекта «Акселерация субъектов малого и среднего предпринимательства»</w:t>
            </w:r>
          </w:p>
        </w:tc>
        <w:tc>
          <w:tcPr>
            <w:tcW w:w="3686" w:type="dxa"/>
            <w:tcBorders/>
            <w:shd w:color="000000" w:fill="FFFFFF" w:val="clear"/>
          </w:tcPr>
          <w:p>
            <w:pPr>
              <w:pStyle w:val="Normal"/>
              <w:spacing w:lineRule="auto" w:line="240" w:before="0" w:after="0"/>
              <w:rPr>
                <w:sz w:val="22"/>
                <w:szCs w:val="22"/>
              </w:rPr>
            </w:pPr>
            <w:r>
              <w:rPr>
                <w:rFonts w:eastAsia="Times New Roman" w:cs="Times New Roman"/>
                <w:sz w:val="22"/>
                <w:szCs w:val="22"/>
                <w:lang w:eastAsia="ru-RU"/>
              </w:rPr>
              <w:t xml:space="preserve">сопровождение (обслуживание) специализированных информационных ресурсов в сети «Интернет» с 2022 по 2024 год - 1 единица ежегодно  </w:t>
            </w:r>
          </w:p>
        </w:tc>
        <w:tc>
          <w:tcPr>
            <w:tcW w:w="1845" w:type="dxa"/>
            <w:tcBorders/>
            <w:shd w:color="auto" w:fill="auto" w:val="clear"/>
          </w:tcPr>
          <w:p>
            <w:pPr>
              <w:pStyle w:val="Normal"/>
              <w:spacing w:lineRule="auto" w:line="240" w:before="0" w:after="0"/>
              <w:rPr>
                <w:sz w:val="22"/>
                <w:szCs w:val="22"/>
              </w:rPr>
            </w:pPr>
            <w:r>
              <w:rPr>
                <w:rFonts w:eastAsia="Times New Roman" w:cs="Times New Roman"/>
                <w:sz w:val="22"/>
                <w:szCs w:val="22"/>
                <w:lang w:eastAsia="ru-RU"/>
              </w:rPr>
              <w:t>департамент инвестиций и развития малого и среднего предпринимательства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16.2</w:t>
            </w:r>
          </w:p>
        </w:tc>
        <w:tc>
          <w:tcPr>
            <w:tcW w:w="4252" w:type="dxa"/>
            <w:tcBorders/>
            <w:shd w:color="000000" w:fill="FFFFFF" w:val="clear"/>
          </w:tcPr>
          <w:p>
            <w:pPr>
              <w:pStyle w:val="Normal"/>
              <w:spacing w:lineRule="auto" w:line="240" w:before="0" w:after="0"/>
              <w:rPr>
                <w:sz w:val="22"/>
                <w:szCs w:val="22"/>
              </w:rPr>
            </w:pPr>
            <w:r>
              <w:rPr>
                <w:rFonts w:eastAsia="Times New Roman" w:cs="Times New Roman"/>
                <w:sz w:val="22"/>
                <w:szCs w:val="22"/>
                <w:lang w:eastAsia="ru-RU"/>
              </w:rPr>
              <w:t>Предоставление субсидий Фонду «Центр координации поддержки экспортно-ориентированных субъектов малого и среднего предпринимательства» на обеспечение его деятельности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tc>
        <w:tc>
          <w:tcPr>
            <w:tcW w:w="4109" w:type="dxa"/>
            <w:tcBorders/>
            <w:shd w:fill="auto" w:val="clear"/>
          </w:tcPr>
          <w:p>
            <w:pPr>
              <w:pStyle w:val="Normal"/>
              <w:spacing w:lineRule="auto" w:line="240" w:before="0" w:after="0"/>
              <w:rPr>
                <w:sz w:val="22"/>
                <w:szCs w:val="22"/>
              </w:rPr>
            </w:pPr>
            <w:r>
              <w:rPr>
                <w:rFonts w:eastAsia="Times New Roman" w:cs="Times New Roman"/>
                <w:sz w:val="22"/>
                <w:szCs w:val="22"/>
                <w:lang w:eastAsia="ru-RU"/>
              </w:rPr>
              <w:t xml:space="preserve">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 </w:t>
            </w:r>
          </w:p>
          <w:p>
            <w:pPr>
              <w:pStyle w:val="Normal"/>
              <w:spacing w:lineRule="auto" w:line="240" w:before="0" w:after="0"/>
              <w:rPr>
                <w:sz w:val="22"/>
                <w:szCs w:val="22"/>
              </w:rPr>
            </w:pPr>
            <w:r>
              <w:rPr>
                <w:rFonts w:eastAsia="Times New Roman" w:cs="Times New Roman"/>
                <w:sz w:val="22"/>
                <w:szCs w:val="22"/>
                <w:lang w:eastAsia="ru-RU"/>
              </w:rPr>
              <w:t>паспорт регионального проекта «Акселерация субъектов малого и среднего предпринимательства»</w:t>
            </w:r>
          </w:p>
        </w:tc>
        <w:tc>
          <w:tcPr>
            <w:tcW w:w="3686" w:type="dxa"/>
            <w:tcBorders/>
            <w:shd w:color="000000" w:fill="FFFFFF" w:val="clear"/>
          </w:tcPr>
          <w:p>
            <w:pPr>
              <w:pStyle w:val="Normal"/>
              <w:spacing w:lineRule="auto" w:line="240" w:before="0" w:after="0"/>
              <w:rPr>
                <w:sz w:val="22"/>
                <w:szCs w:val="22"/>
              </w:rPr>
            </w:pPr>
            <w:r>
              <w:rPr>
                <w:rFonts w:eastAsia="Times New Roman" w:cs="Times New Roman"/>
                <w:sz w:val="22"/>
                <w:szCs w:val="22"/>
                <w:lang w:eastAsia="ru-RU"/>
              </w:rPr>
              <w:t xml:space="preserve">количество субъектов МСП-экспортеров, заключивших экспортные контракты по результатам услуг центров поддержки экспорта, единиц: </w:t>
            </w:r>
          </w:p>
          <w:p>
            <w:pPr>
              <w:pStyle w:val="Normal"/>
              <w:spacing w:lineRule="auto" w:line="240" w:before="0" w:after="0"/>
              <w:rPr>
                <w:sz w:val="22"/>
                <w:szCs w:val="22"/>
              </w:rPr>
            </w:pPr>
            <w:r>
              <w:rPr>
                <w:rFonts w:eastAsia="Times New Roman" w:cs="Times New Roman"/>
                <w:sz w:val="22"/>
                <w:szCs w:val="22"/>
                <w:lang w:eastAsia="ru-RU"/>
              </w:rPr>
              <w:t xml:space="preserve">в 2022 году – 46, </w:t>
            </w:r>
          </w:p>
          <w:p>
            <w:pPr>
              <w:pStyle w:val="Normal"/>
              <w:spacing w:lineRule="auto" w:line="240" w:before="0" w:after="0"/>
              <w:rPr>
                <w:sz w:val="22"/>
                <w:szCs w:val="22"/>
              </w:rPr>
            </w:pPr>
            <w:r>
              <w:rPr>
                <w:rFonts w:eastAsia="Times New Roman" w:cs="Times New Roman"/>
                <w:sz w:val="22"/>
                <w:szCs w:val="22"/>
                <w:lang w:eastAsia="ru-RU"/>
              </w:rPr>
              <w:t xml:space="preserve">в 2023 году – 49, </w:t>
            </w:r>
          </w:p>
          <w:p>
            <w:pPr>
              <w:pStyle w:val="Normal"/>
              <w:spacing w:lineRule="auto" w:line="240" w:before="0" w:after="0"/>
              <w:rPr>
                <w:sz w:val="22"/>
                <w:szCs w:val="22"/>
              </w:rPr>
            </w:pPr>
            <w:r>
              <w:rPr>
                <w:rFonts w:eastAsia="Times New Roman" w:cs="Times New Roman"/>
                <w:sz w:val="22"/>
                <w:szCs w:val="22"/>
                <w:lang w:eastAsia="ru-RU"/>
              </w:rPr>
              <w:t xml:space="preserve">в 2024 году – 51; </w:t>
            </w:r>
          </w:p>
          <w:p>
            <w:pPr>
              <w:pStyle w:val="Normal"/>
              <w:spacing w:lineRule="auto" w:line="240" w:before="0" w:after="0"/>
              <w:rPr>
                <w:sz w:val="22"/>
                <w:szCs w:val="22"/>
              </w:rPr>
            </w:pPr>
            <w:r>
              <w:rPr>
                <w:rFonts w:eastAsia="Times New Roman" w:cs="Times New Roman"/>
                <w:sz w:val="22"/>
                <w:szCs w:val="22"/>
                <w:lang w:eastAsia="ru-RU"/>
              </w:rPr>
              <w:t>количество субъектов МСП, получивших поддержку в Фонде «Центр координации поддержки экспортно-ориентированных субъектов малого и среднего предпринимательства», единиц:</w:t>
            </w:r>
          </w:p>
          <w:p>
            <w:pPr>
              <w:pStyle w:val="Normal"/>
              <w:spacing w:lineRule="auto" w:line="240" w:before="0" w:after="0"/>
              <w:rPr>
                <w:sz w:val="22"/>
                <w:szCs w:val="22"/>
              </w:rPr>
            </w:pPr>
            <w:r>
              <w:rPr>
                <w:rFonts w:eastAsia="Times New Roman" w:cs="Times New Roman"/>
                <w:sz w:val="22"/>
                <w:szCs w:val="22"/>
                <w:lang w:eastAsia="ru-RU"/>
              </w:rPr>
              <w:t xml:space="preserve">в 2022 году – 239, </w:t>
            </w:r>
          </w:p>
          <w:p>
            <w:pPr>
              <w:pStyle w:val="Normal"/>
              <w:spacing w:lineRule="auto" w:line="240" w:before="0" w:after="0"/>
              <w:rPr>
                <w:sz w:val="22"/>
                <w:szCs w:val="22"/>
              </w:rPr>
            </w:pPr>
            <w:r>
              <w:rPr>
                <w:rFonts w:eastAsia="Times New Roman" w:cs="Times New Roman"/>
                <w:sz w:val="22"/>
                <w:szCs w:val="22"/>
                <w:lang w:eastAsia="ru-RU"/>
              </w:rPr>
              <w:t>в 2023 году – 469,</w:t>
            </w:r>
          </w:p>
          <w:p>
            <w:pPr>
              <w:pStyle w:val="Normal"/>
              <w:spacing w:lineRule="auto" w:line="240" w:before="0" w:after="0"/>
              <w:rPr>
                <w:sz w:val="22"/>
                <w:szCs w:val="22"/>
              </w:rPr>
            </w:pPr>
            <w:r>
              <w:rPr>
                <w:rFonts w:eastAsia="Times New Roman" w:cs="Times New Roman"/>
                <w:sz w:val="22"/>
                <w:szCs w:val="22"/>
                <w:lang w:eastAsia="ru-RU"/>
              </w:rPr>
              <w:t>в 2024 году – 333</w:t>
            </w:r>
          </w:p>
        </w:tc>
        <w:tc>
          <w:tcPr>
            <w:tcW w:w="1845" w:type="dxa"/>
            <w:tcBorders/>
            <w:shd w:color="auto" w:fill="auto" w:val="clear"/>
          </w:tcPr>
          <w:p>
            <w:pPr>
              <w:pStyle w:val="Normal"/>
              <w:spacing w:lineRule="auto" w:line="240" w:before="0" w:after="0"/>
              <w:rPr>
                <w:sz w:val="22"/>
                <w:szCs w:val="22"/>
              </w:rPr>
            </w:pPr>
            <w:r>
              <w:rPr>
                <w:rFonts w:eastAsia="Times New Roman" w:cs="Times New Roman"/>
                <w:sz w:val="22"/>
                <w:szCs w:val="22"/>
                <w:lang w:eastAsia="ru-RU"/>
              </w:rPr>
              <w:t>департамент инвестиций и развития малого и среднего предпринимательства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16.3</w:t>
            </w:r>
          </w:p>
        </w:tc>
        <w:tc>
          <w:tcPr>
            <w:tcW w:w="4252" w:type="dxa"/>
            <w:tcBorders/>
            <w:shd w:color="000000" w:fill="FFFFFF" w:val="clear"/>
          </w:tcPr>
          <w:p>
            <w:pPr>
              <w:pStyle w:val="Normal"/>
              <w:widowControl w:val="false"/>
              <w:spacing w:lineRule="auto" w:line="240" w:before="0" w:after="0"/>
              <w:rPr>
                <w:sz w:val="22"/>
                <w:szCs w:val="22"/>
              </w:rPr>
            </w:pPr>
            <w:r>
              <w:rPr>
                <w:rFonts w:eastAsia="Times New Roman" w:cs="Times New Roman"/>
                <w:sz w:val="22"/>
                <w:szCs w:val="22"/>
                <w:lang w:eastAsia="ru-RU"/>
              </w:rPr>
              <w:t>Предоставление субсидий унитарной некоммерческой организации «Фонд развития бизнеса Краснодарского края» на обеспечение деятельности центра сопровождения инвестиционных проектов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tc>
        <w:tc>
          <w:tcPr>
            <w:tcW w:w="4109" w:type="dxa"/>
            <w:tcBorders/>
            <w:shd w:fill="auto" w:val="clear"/>
          </w:tcPr>
          <w:p>
            <w:pPr>
              <w:pStyle w:val="Normal"/>
              <w:spacing w:lineRule="auto" w:line="240" w:before="0" w:after="0"/>
              <w:rPr>
                <w:sz w:val="22"/>
                <w:szCs w:val="22"/>
              </w:rPr>
            </w:pPr>
            <w:r>
              <w:rPr>
                <w:rFonts w:eastAsia="Times New Roman" w:cs="Times New Roman"/>
                <w:sz w:val="22"/>
                <w:szCs w:val="22"/>
                <w:lang w:eastAsia="ru-RU"/>
              </w:rPr>
              <w:t xml:space="preserve">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 </w:t>
            </w:r>
          </w:p>
          <w:p>
            <w:pPr>
              <w:pStyle w:val="Normal"/>
              <w:spacing w:lineRule="auto" w:line="240" w:before="0" w:after="0"/>
              <w:rPr>
                <w:sz w:val="22"/>
                <w:szCs w:val="22"/>
              </w:rPr>
            </w:pPr>
            <w:r>
              <w:rPr>
                <w:rFonts w:eastAsia="Times New Roman" w:cs="Times New Roman"/>
                <w:sz w:val="22"/>
                <w:szCs w:val="22"/>
                <w:lang w:eastAsia="ru-RU"/>
              </w:rPr>
              <w:t>паспорт регионального проекта «Акселерация субъектов малого и среднего предпринимательства»</w:t>
            </w:r>
          </w:p>
        </w:tc>
        <w:tc>
          <w:tcPr>
            <w:tcW w:w="3686" w:type="dxa"/>
            <w:tcBorders/>
            <w:shd w:color="000000" w:fill="FFFFFF" w:val="clear"/>
          </w:tcPr>
          <w:p>
            <w:pPr>
              <w:pStyle w:val="Normal"/>
              <w:spacing w:lineRule="auto" w:line="240" w:before="0" w:after="0"/>
              <w:rPr>
                <w:sz w:val="22"/>
                <w:szCs w:val="22"/>
              </w:rPr>
            </w:pPr>
            <w:r>
              <w:rPr>
                <w:rFonts w:eastAsia="Times New Roman" w:cs="Times New Roman"/>
                <w:sz w:val="22"/>
                <w:szCs w:val="22"/>
                <w:lang w:eastAsia="ru-RU"/>
              </w:rPr>
              <w:t xml:space="preserve">количество инвестиционных проектов, реализуемых и (или) планируемых </w:t>
            </w:r>
          </w:p>
          <w:p>
            <w:pPr>
              <w:pStyle w:val="Normal"/>
              <w:spacing w:lineRule="auto" w:line="240" w:before="0" w:after="0"/>
              <w:rPr>
                <w:sz w:val="22"/>
                <w:szCs w:val="22"/>
              </w:rPr>
            </w:pPr>
            <w:r>
              <w:rPr>
                <w:rFonts w:eastAsia="Times New Roman" w:cs="Times New Roman"/>
                <w:sz w:val="22"/>
                <w:szCs w:val="22"/>
                <w:lang w:eastAsia="ru-RU"/>
              </w:rPr>
              <w:t xml:space="preserve">к реализации на территории Краснодарского края субъектами МСП (с объемом капитальных вложений до 5 млрд рублей), принятых на сопровождение центром сопровождения инвестиционных проектов: в 2022 году - 19 единиц; в 2023 году - 19 единиц; в 2024 году - 19 единиц; </w:t>
            </w:r>
          </w:p>
          <w:p>
            <w:pPr>
              <w:pStyle w:val="Normal"/>
              <w:widowControl w:val="false"/>
              <w:spacing w:lineRule="auto" w:line="240" w:before="0" w:after="0"/>
              <w:rPr>
                <w:sz w:val="22"/>
                <w:szCs w:val="22"/>
              </w:rPr>
            </w:pPr>
            <w:r>
              <w:rPr>
                <w:rFonts w:eastAsia="Times New Roman" w:cs="Times New Roman"/>
                <w:sz w:val="22"/>
                <w:szCs w:val="22"/>
                <w:lang w:eastAsia="ru-RU"/>
              </w:rPr>
              <w:t>объем капитальных вложений, предусмотренных инвестиционными проектами, принятыми на сопровождение центром сопровождения инвестиционных проектов: в 2022 году – 3,8 млрд рублей; в 2023 году – 3,8 млрд рублей; в 2024 году – 3,8 млрд рублей</w:t>
            </w:r>
          </w:p>
        </w:tc>
        <w:tc>
          <w:tcPr>
            <w:tcW w:w="1845" w:type="dxa"/>
            <w:tcBorders/>
            <w:shd w:color="auto" w:fill="auto" w:val="clear"/>
          </w:tcPr>
          <w:p>
            <w:pPr>
              <w:pStyle w:val="Normal"/>
              <w:spacing w:lineRule="auto" w:line="240" w:before="0" w:after="0"/>
              <w:rPr>
                <w:sz w:val="22"/>
                <w:szCs w:val="22"/>
              </w:rPr>
            </w:pPr>
            <w:r>
              <w:rPr>
                <w:rFonts w:eastAsia="Times New Roman" w:cs="Times New Roman"/>
                <w:sz w:val="22"/>
                <w:szCs w:val="22"/>
                <w:lang w:eastAsia="ru-RU"/>
              </w:rPr>
              <w:t>департамент инвестиций и развития малого и среднего предпринимательства Краснодарского края</w:t>
            </w:r>
          </w:p>
        </w:tc>
      </w:tr>
      <w:tr>
        <w:trPr>
          <w:trHeight w:val="78" w:hRule="atLeast"/>
        </w:trPr>
        <w:tc>
          <w:tcPr>
            <w:tcW w:w="703" w:type="dxa"/>
            <w:tcBorders/>
            <w:shd w:fill="auto" w:val="clear"/>
          </w:tcPr>
          <w:p>
            <w:pPr>
              <w:pStyle w:val="Normal"/>
              <w:spacing w:lineRule="auto" w:line="240" w:before="0" w:after="0"/>
              <w:jc w:val="center"/>
              <w:rPr>
                <w:sz w:val="22"/>
              </w:rPr>
            </w:pPr>
            <w:r>
              <w:rPr>
                <w:rFonts w:eastAsia="Times New Roman" w:cs="Times New Roman"/>
                <w:sz w:val="22"/>
                <w:szCs w:val="20"/>
                <w:lang w:eastAsia="ru-RU"/>
              </w:rPr>
              <w:t>16.4.</w:t>
            </w:r>
          </w:p>
        </w:tc>
        <w:tc>
          <w:tcPr>
            <w:tcW w:w="4252" w:type="dxa"/>
            <w:tcBorders/>
            <w:shd w:color="000000" w:fill="FFFFFF" w:val="clear"/>
          </w:tcPr>
          <w:p>
            <w:pPr>
              <w:pStyle w:val="Normal"/>
              <w:widowControl w:val="false"/>
              <w:spacing w:lineRule="auto" w:line="240" w:before="0" w:after="0"/>
              <w:rPr>
                <w:sz w:val="22"/>
                <w:szCs w:val="22"/>
              </w:rPr>
            </w:pPr>
            <w:r>
              <w:rPr>
                <w:rFonts w:eastAsia="Times New Roman" w:cs="Times New Roman"/>
                <w:sz w:val="22"/>
                <w:szCs w:val="22"/>
                <w:lang w:eastAsia="ru-RU"/>
              </w:rPr>
              <w:t>Предоставление субъектам малого и среднего предпринимательства Краснодарского края, имеющим статус социального предприятия, грантов в форме субсидий на реализацию проектов в сфере социального предпринимательства в целях развития малого и среднего предпринимательства в рамках реализации мероприятий регионального проекта «Создание условия для легкого старта и комфортного ведения бизнеса»</w:t>
            </w:r>
          </w:p>
        </w:tc>
        <w:tc>
          <w:tcPr>
            <w:tcW w:w="4109" w:type="dxa"/>
            <w:tcBorders/>
            <w:shd w:fill="auto" w:val="clear"/>
          </w:tcPr>
          <w:p>
            <w:pPr>
              <w:pStyle w:val="Normal"/>
              <w:spacing w:lineRule="auto" w:line="240" w:before="0" w:after="0"/>
              <w:rPr>
                <w:sz w:val="22"/>
                <w:szCs w:val="22"/>
              </w:rPr>
            </w:pPr>
            <w:r>
              <w:rPr>
                <w:rFonts w:eastAsia="Times New Roman" w:cs="Times New Roman"/>
                <w:sz w:val="22"/>
                <w:szCs w:val="22"/>
                <w:lang w:eastAsia="ru-RU"/>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p>
            <w:pPr>
              <w:pStyle w:val="Normal"/>
              <w:spacing w:lineRule="auto" w:line="240" w:before="0" w:after="0"/>
              <w:rPr>
                <w:sz w:val="22"/>
                <w:szCs w:val="22"/>
              </w:rPr>
            </w:pPr>
            <w:r>
              <w:rPr>
                <w:rFonts w:eastAsia="Times New Roman" w:cs="Times New Roman"/>
                <w:sz w:val="22"/>
                <w:szCs w:val="22"/>
                <w:lang w:eastAsia="ru-RU"/>
              </w:rPr>
              <w:t>паспорт регионального проекта «Создание условия для легкого старта и комфортного ведения бизнеса»</w:t>
            </w:r>
          </w:p>
        </w:tc>
        <w:tc>
          <w:tcPr>
            <w:tcW w:w="3686" w:type="dxa"/>
            <w:tcBorders/>
            <w:shd w:color="000000" w:fill="FFFFFF" w:val="clear"/>
          </w:tcPr>
          <w:p>
            <w:pPr>
              <w:pStyle w:val="Normal"/>
              <w:spacing w:lineRule="auto" w:line="240" w:before="0" w:after="0"/>
              <w:rPr>
                <w:sz w:val="22"/>
                <w:szCs w:val="22"/>
              </w:rPr>
            </w:pPr>
            <w:r>
              <w:rPr>
                <w:rFonts w:eastAsia="Times New Roman" w:cs="Times New Roman"/>
                <w:sz w:val="22"/>
                <w:szCs w:val="22"/>
                <w:lang w:eastAsia="ru-RU"/>
              </w:rPr>
              <w:t>субъектам МСП, включенным в реестр социальных предпринимателей, оказаны комплексные услуги и (или) предоставлена финансовая поддержка в виде грантов (количество уникальных социальных предприятий, включенных в реестр, в том числе получивших комплексные услуги и (или) финансовую поддержку в виде гранта), единиц: в 2022 году – 21, в 2023 году – 24, в 2024 году – 27</w:t>
            </w:r>
          </w:p>
        </w:tc>
        <w:tc>
          <w:tcPr>
            <w:tcW w:w="1845" w:type="dxa"/>
            <w:tcBorders/>
            <w:shd w:color="auto" w:fill="auto" w:val="clear"/>
          </w:tcPr>
          <w:p>
            <w:pPr>
              <w:pStyle w:val="Normal"/>
              <w:spacing w:lineRule="auto" w:line="240" w:before="0" w:after="0"/>
              <w:rPr>
                <w:sz w:val="22"/>
                <w:szCs w:val="22"/>
              </w:rPr>
            </w:pPr>
            <w:r>
              <w:rPr>
                <w:rFonts w:eastAsia="Times New Roman" w:cs="Times New Roman"/>
                <w:sz w:val="22"/>
                <w:szCs w:val="22"/>
                <w:lang w:eastAsia="ru-RU"/>
              </w:rPr>
              <w:t>департамент инвестиций и развития малого и среднего предпринимательства Краснодарского края</w:t>
            </w:r>
          </w:p>
        </w:tc>
      </w:tr>
    </w:tbl>
    <w:p>
      <w:pPr>
        <w:pStyle w:val="Normal"/>
        <w:spacing w:lineRule="auto" w:line="240" w:before="0" w:after="0"/>
        <w:jc w:val="left"/>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jc w:val="left"/>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right="-31" w:hanging="0"/>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ind w:right="-31" w:hanging="0"/>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ind w:right="-31" w:hanging="0"/>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ind w:right="-31" w:hanging="0"/>
        <w:rPr>
          <w:rFonts w:eastAsia="Times New Roman" w:cs="Times New Roman"/>
          <w:szCs w:val="28"/>
          <w:lang w:eastAsia="ru-RU"/>
        </w:rPr>
      </w:pPr>
      <w:r>
        <w:rPr>
          <w:rFonts w:eastAsia="Times New Roman" w:cs="Times New Roman"/>
          <w:szCs w:val="28"/>
          <w:lang w:eastAsia="ru-RU"/>
        </w:rPr>
      </w:r>
    </w:p>
    <w:p>
      <w:pPr>
        <w:sectPr>
          <w:headerReference w:type="default" r:id="rId11"/>
          <w:type w:val="nextPage"/>
          <w:pgSz w:orient="landscape" w:w="16838" w:h="11906"/>
          <w:pgMar w:left="1134" w:right="1134" w:header="709" w:top="1134" w:footer="0" w:bottom="1134" w:gutter="0"/>
          <w:pgNumType w:start="1" w:fmt="decimal"/>
          <w:formProt w:val="false"/>
          <w:textDirection w:val="lrTb"/>
          <w:docGrid w:type="default" w:linePitch="381" w:charSpace="0"/>
        </w:sectPr>
        <w:pStyle w:val="Normal"/>
        <w:spacing w:lineRule="auto" w:line="240" w:before="0" w:after="0"/>
        <w:ind w:right="-31" w:hanging="0"/>
        <w:rPr>
          <w:rFonts w:eastAsia="Times New Roman" w:cs="Times New Roman"/>
          <w:szCs w:val="28"/>
          <w:lang w:eastAsia="ru-RU"/>
        </w:rPr>
      </w:pPr>
      <w:r>
        <w:rPr>
          <w:rFonts w:eastAsia="Times New Roman" w:cs="Times New Roman"/>
          <w:szCs w:val="28"/>
          <w:lang w:eastAsia="ru-RU"/>
        </w:rPr>
      </w:r>
    </w:p>
    <w:p>
      <w:pPr>
        <w:pStyle w:val="Normal"/>
        <w:widowControl w:val="false"/>
        <w:shd w:val="clear" w:color="auto" w:fill="FFFFFF"/>
        <w:spacing w:lineRule="auto" w:line="240" w:before="0" w:after="0"/>
        <w:ind w:left="5670" w:right="-427" w:hanging="0"/>
        <w:jc w:val="left"/>
        <w:rPr>
          <w:rFonts w:eastAsia="Times New Roman" w:cs="Times New Roman"/>
          <w:spacing w:val="1"/>
          <w:szCs w:val="28"/>
        </w:rPr>
      </w:pPr>
      <w:r>
        <w:rPr>
          <w:rFonts w:eastAsia="Times New Roman" w:cs="Times New Roman"/>
          <w:spacing w:val="1"/>
          <w:szCs w:val="28"/>
        </w:rPr>
        <w:t>Приложение 2</w:t>
      </w:r>
    </w:p>
    <w:p>
      <w:pPr>
        <w:pStyle w:val="Normal"/>
        <w:widowControl w:val="false"/>
        <w:shd w:val="clear" w:color="auto" w:fill="FFFFFF"/>
        <w:spacing w:lineRule="auto" w:line="240" w:before="0" w:after="0"/>
        <w:ind w:left="5670" w:right="-427" w:hanging="0"/>
        <w:jc w:val="left"/>
        <w:rPr>
          <w:rFonts w:eastAsia="Times New Roman" w:cs="Times New Roman"/>
          <w:spacing w:val="1"/>
          <w:szCs w:val="28"/>
        </w:rPr>
      </w:pPr>
      <w:r>
        <w:rPr>
          <w:rFonts w:eastAsia="Times New Roman" w:cs="Times New Roman"/>
          <w:spacing w:val="1"/>
          <w:szCs w:val="28"/>
        </w:rPr>
        <w:t xml:space="preserve">к плану мероприятий </w:t>
      </w:r>
    </w:p>
    <w:p>
      <w:pPr>
        <w:pStyle w:val="Normal"/>
        <w:widowControl w:val="false"/>
        <w:shd w:val="clear" w:color="auto" w:fill="FFFFFF"/>
        <w:spacing w:lineRule="auto" w:line="240" w:before="0" w:after="0"/>
        <w:ind w:left="5670" w:right="-427" w:hanging="0"/>
        <w:jc w:val="left"/>
        <w:rPr>
          <w:rFonts w:eastAsia="Times New Roman" w:cs="Times New Roman"/>
          <w:spacing w:val="1"/>
          <w:szCs w:val="28"/>
        </w:rPr>
      </w:pPr>
      <w:r>
        <w:rPr>
          <w:rFonts w:eastAsia="Times New Roman" w:cs="Times New Roman"/>
          <w:spacing w:val="1"/>
          <w:szCs w:val="28"/>
        </w:rPr>
        <w:t xml:space="preserve">(«дорожной карте») </w:t>
      </w:r>
    </w:p>
    <w:p>
      <w:pPr>
        <w:pStyle w:val="Normal"/>
        <w:widowControl w:val="false"/>
        <w:shd w:val="clear" w:color="auto" w:fill="FFFFFF"/>
        <w:spacing w:lineRule="auto" w:line="240" w:before="0" w:after="0"/>
        <w:ind w:left="5670" w:right="-427" w:hanging="0"/>
        <w:jc w:val="left"/>
        <w:rPr>
          <w:rFonts w:eastAsia="Times New Roman" w:cs="Times New Roman"/>
          <w:spacing w:val="1"/>
          <w:szCs w:val="28"/>
        </w:rPr>
      </w:pPr>
      <w:r>
        <w:rPr>
          <w:rFonts w:eastAsia="Times New Roman" w:cs="Times New Roman"/>
          <w:spacing w:val="1"/>
          <w:szCs w:val="28"/>
        </w:rPr>
        <w:t xml:space="preserve">по содействию развитию </w:t>
      </w:r>
    </w:p>
    <w:p>
      <w:pPr>
        <w:pStyle w:val="Normal"/>
        <w:widowControl w:val="false"/>
        <w:shd w:val="clear" w:color="auto" w:fill="FFFFFF"/>
        <w:spacing w:lineRule="auto" w:line="240" w:before="0" w:after="0"/>
        <w:ind w:left="5670" w:right="-427" w:hanging="0"/>
        <w:jc w:val="left"/>
        <w:rPr>
          <w:rFonts w:eastAsia="Times New Roman" w:cs="Times New Roman"/>
          <w:spacing w:val="1"/>
          <w:szCs w:val="28"/>
        </w:rPr>
      </w:pPr>
      <w:r>
        <w:rPr>
          <w:rFonts w:eastAsia="Times New Roman" w:cs="Times New Roman"/>
          <w:spacing w:val="1"/>
          <w:szCs w:val="28"/>
        </w:rPr>
        <w:t xml:space="preserve">конкуренции в Краснодарском крае </w:t>
      </w:r>
    </w:p>
    <w:p>
      <w:pPr>
        <w:pStyle w:val="Normal"/>
        <w:spacing w:lineRule="auto" w:line="240" w:before="0" w:after="0"/>
        <w:ind w:right="-172" w:hanging="0"/>
        <w:jc w:val="right"/>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ind w:right="-172" w:hanging="0"/>
        <w:jc w:val="right"/>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ind w:left="567" w:right="-172" w:hanging="0"/>
        <w:jc w:val="center"/>
        <w:rPr>
          <w:rFonts w:eastAsia="Times New Roman" w:cs="Times New Roman"/>
          <w:b/>
          <w:b/>
          <w:szCs w:val="28"/>
          <w:lang w:eastAsia="ru-RU"/>
        </w:rPr>
      </w:pPr>
      <w:r>
        <w:rPr>
          <w:rFonts w:eastAsia="Times New Roman" w:cs="Times New Roman"/>
          <w:b/>
          <w:szCs w:val="28"/>
          <w:lang w:eastAsia="ru-RU"/>
        </w:rPr>
        <w:t xml:space="preserve">ПЛАН-ГРАФИК </w:t>
      </w:r>
    </w:p>
    <w:p>
      <w:pPr>
        <w:pStyle w:val="Normal"/>
        <w:spacing w:lineRule="auto" w:line="240" w:before="0" w:after="0"/>
        <w:ind w:left="567" w:right="-172" w:hanging="0"/>
        <w:jc w:val="center"/>
        <w:rPr>
          <w:rFonts w:eastAsia="Times New Roman" w:cs="Times New Roman"/>
          <w:b/>
          <w:b/>
          <w:szCs w:val="28"/>
          <w:lang w:eastAsia="ru-RU"/>
        </w:rPr>
      </w:pPr>
      <w:r>
        <w:rPr>
          <w:rFonts w:eastAsia="Times New Roman" w:cs="Times New Roman"/>
          <w:b/>
          <w:szCs w:val="28"/>
          <w:lang w:eastAsia="ru-RU"/>
        </w:rPr>
        <w:t>по</w:t>
      </w:r>
      <w:r>
        <w:rPr>
          <w:rFonts w:cs="Times New Roman"/>
          <w:b/>
          <w:szCs w:val="28"/>
        </w:rPr>
        <w:t xml:space="preserve"> вовлечению потенциальных предприятий</w:t>
      </w:r>
      <w:r>
        <w:rPr>
          <w:rFonts w:eastAsia="Times New Roman" w:cs="Times New Roman"/>
          <w:b/>
          <w:szCs w:val="28"/>
          <w:lang w:eastAsia="ru-RU"/>
        </w:rPr>
        <w:t xml:space="preserve"> </w:t>
      </w:r>
      <w:r>
        <w:rPr>
          <w:rFonts w:cs="Times New Roman"/>
          <w:b/>
          <w:szCs w:val="28"/>
        </w:rPr>
        <w:t xml:space="preserve">в национальный проект «Производительность труда» </w:t>
      </w:r>
      <w:r>
        <w:rPr>
          <w:rFonts w:eastAsia="Times New Roman" w:cs="Times New Roman"/>
          <w:b/>
          <w:szCs w:val="28"/>
          <w:lang w:eastAsia="ru-RU"/>
        </w:rPr>
        <w:t>в разрезе муниципальных образований</w:t>
      </w:r>
    </w:p>
    <w:p>
      <w:pPr>
        <w:pStyle w:val="Normal"/>
        <w:spacing w:lineRule="auto" w:line="240" w:before="0" w:after="0"/>
        <w:ind w:right="-172" w:hanging="0"/>
        <w:jc w:val="right"/>
        <w:rPr>
          <w:rFonts w:eastAsia="Times New Roman" w:cs="Times New Roman"/>
          <w:szCs w:val="28"/>
          <w:lang w:eastAsia="ru-RU"/>
        </w:rPr>
      </w:pPr>
      <w:r>
        <w:rPr>
          <w:rFonts w:eastAsia="Times New Roman" w:cs="Times New Roman"/>
          <w:szCs w:val="28"/>
          <w:lang w:eastAsia="ru-RU"/>
        </w:rPr>
      </w:r>
    </w:p>
    <w:tbl>
      <w:tblPr>
        <w:tblW w:w="9640" w:type="dxa"/>
        <w:jc w:val="left"/>
        <w:tblInd w:w="421" w:type="dxa"/>
        <w:tblCellMar>
          <w:top w:w="0" w:type="dxa"/>
          <w:left w:w="108" w:type="dxa"/>
          <w:bottom w:w="0" w:type="dxa"/>
          <w:right w:w="108" w:type="dxa"/>
        </w:tblCellMar>
        <w:tblLook w:val="04a0" w:noVBand="1" w:noHBand="0" w:lastColumn="0" w:firstColumn="1" w:lastRow="0" w:firstRow="1"/>
      </w:tblPr>
      <w:tblGrid>
        <w:gridCol w:w="3118"/>
        <w:gridCol w:w="1559"/>
        <w:gridCol w:w="1560"/>
        <w:gridCol w:w="849"/>
        <w:gridCol w:w="850"/>
        <w:gridCol w:w="849"/>
        <w:gridCol w:w="854"/>
      </w:tblGrid>
      <w:tr>
        <w:trPr>
          <w:trHeight w:val="20" w:hRule="atLeast"/>
        </w:trPr>
        <w:tc>
          <w:tcPr>
            <w:tcW w:w="3118" w:type="dxa"/>
            <w:vMerge w:val="restart"/>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Муниципальное образование</w:t>
            </w:r>
          </w:p>
        </w:tc>
        <w:tc>
          <w:tcPr>
            <w:tcW w:w="1559" w:type="dxa"/>
            <w:vMerge w:val="restart"/>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ind w:left="34" w:hanging="0"/>
              <w:jc w:val="center"/>
              <w:rPr>
                <w:rFonts w:eastAsia="Times New Roman" w:cs="Times New Roman"/>
                <w:bCs/>
                <w:sz w:val="22"/>
                <w:lang w:eastAsia="ru-RU"/>
              </w:rPr>
            </w:pPr>
            <w:r>
              <w:rPr>
                <w:rFonts w:eastAsia="Times New Roman" w:cs="Times New Roman"/>
                <w:bCs/>
                <w:sz w:val="22"/>
                <w:lang w:eastAsia="ru-RU"/>
              </w:rPr>
              <w:t>План</w:t>
              <w:br/>
              <w:t>нацпроект до 2024</w:t>
            </w:r>
          </w:p>
        </w:tc>
        <w:tc>
          <w:tcPr>
            <w:tcW w:w="1560" w:type="dxa"/>
            <w:vMerge w:val="restart"/>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ind w:left="34" w:hanging="0"/>
              <w:jc w:val="center"/>
              <w:rPr>
                <w:rFonts w:eastAsia="Times New Roman" w:cs="Times New Roman"/>
                <w:bCs/>
                <w:sz w:val="22"/>
                <w:lang w:eastAsia="ru-RU"/>
              </w:rPr>
            </w:pPr>
            <w:r>
              <w:rPr>
                <w:rFonts w:eastAsia="Times New Roman" w:cs="Times New Roman"/>
                <w:bCs/>
                <w:sz w:val="22"/>
                <w:lang w:eastAsia="ru-RU"/>
              </w:rPr>
              <w:t>План нацпроект на 2022 год</w:t>
            </w:r>
          </w:p>
        </w:tc>
        <w:tc>
          <w:tcPr>
            <w:tcW w:w="3402"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Поквартальный план</w:t>
            </w:r>
          </w:p>
        </w:tc>
      </w:tr>
      <w:tr>
        <w:trPr>
          <w:trHeight w:val="20" w:hRule="atLeast"/>
        </w:trPr>
        <w:tc>
          <w:tcPr>
            <w:tcW w:w="3118" w:type="dxa"/>
            <w:vMerge w:val="continue"/>
            <w:tcBorders>
              <w:top w:val="single" w:sz="4" w:space="0" w:color="000000"/>
              <w:left w:val="single" w:sz="4" w:space="0" w:color="000000"/>
              <w:right w:val="single" w:sz="4" w:space="0" w:color="000000"/>
            </w:tcBorders>
            <w:shd w:fill="auto" w:val="clear"/>
            <w:vAlign w:val="center"/>
          </w:tcPr>
          <w:p>
            <w:pPr>
              <w:pStyle w:val="Normal"/>
              <w:spacing w:lineRule="auto" w:line="240" w:before="0" w:after="0"/>
              <w:ind w:left="142" w:hanging="0"/>
              <w:rPr>
                <w:rFonts w:eastAsia="Times New Roman" w:cs="Times New Roman"/>
                <w:bCs/>
                <w:sz w:val="22"/>
                <w:lang w:eastAsia="ru-RU"/>
              </w:rPr>
            </w:pPr>
            <w:r>
              <w:rPr>
                <w:rFonts w:eastAsia="Times New Roman" w:cs="Times New Roman"/>
                <w:bCs/>
                <w:sz w:val="22"/>
                <w:lang w:eastAsia="ru-RU"/>
              </w:rPr>
            </w:r>
          </w:p>
        </w:tc>
        <w:tc>
          <w:tcPr>
            <w:tcW w:w="1559" w:type="dxa"/>
            <w:vMerge w:val="continue"/>
            <w:tcBorders>
              <w:top w:val="single" w:sz="4" w:space="0" w:color="000000"/>
              <w:left w:val="single" w:sz="4" w:space="0" w:color="000000"/>
              <w:right w:val="single" w:sz="4" w:space="0" w:color="000000"/>
            </w:tcBorders>
            <w:shd w:fill="auto" w:val="clear"/>
            <w:vAlign w:val="center"/>
          </w:tcPr>
          <w:p>
            <w:pPr>
              <w:pStyle w:val="Normal"/>
              <w:spacing w:lineRule="auto" w:line="240" w:before="0" w:after="0"/>
              <w:ind w:left="142" w:hanging="0"/>
              <w:rPr>
                <w:rFonts w:eastAsia="Times New Roman" w:cs="Times New Roman"/>
                <w:bCs/>
                <w:sz w:val="22"/>
                <w:lang w:eastAsia="ru-RU"/>
              </w:rPr>
            </w:pPr>
            <w:r>
              <w:rPr>
                <w:rFonts w:eastAsia="Times New Roman" w:cs="Times New Roman"/>
                <w:bCs/>
                <w:sz w:val="22"/>
                <w:lang w:eastAsia="ru-RU"/>
              </w:rPr>
            </w:r>
          </w:p>
        </w:tc>
        <w:tc>
          <w:tcPr>
            <w:tcW w:w="1560" w:type="dxa"/>
            <w:vMerge w:val="continue"/>
            <w:tcBorders>
              <w:top w:val="single" w:sz="4" w:space="0" w:color="000000"/>
              <w:left w:val="single" w:sz="4" w:space="0" w:color="000000"/>
              <w:right w:val="single" w:sz="4" w:space="0" w:color="000000"/>
            </w:tcBorders>
            <w:shd w:fill="auto" w:val="clear"/>
            <w:vAlign w:val="center"/>
          </w:tcPr>
          <w:p>
            <w:pPr>
              <w:pStyle w:val="Normal"/>
              <w:spacing w:lineRule="auto" w:line="240" w:before="0" w:after="0"/>
              <w:ind w:left="142" w:hanging="0"/>
              <w:rPr>
                <w:rFonts w:eastAsia="Times New Roman" w:cs="Times New Roman"/>
                <w:bCs/>
                <w:sz w:val="22"/>
                <w:lang w:eastAsia="ru-RU"/>
              </w:rPr>
            </w:pPr>
            <w:r>
              <w:rPr>
                <w:rFonts w:eastAsia="Times New Roman" w:cs="Times New Roman"/>
                <w:bCs/>
                <w:sz w:val="22"/>
                <w:lang w:eastAsia="ru-RU"/>
              </w:rPr>
            </w:r>
          </w:p>
        </w:tc>
        <w:tc>
          <w:tcPr>
            <w:tcW w:w="849" w:type="dxa"/>
            <w:tcBorders>
              <w:top w:val="single" w:sz="4" w:space="0" w:color="000000"/>
              <w:right w:val="single" w:sz="4" w:space="0" w:color="000000"/>
            </w:tcBorders>
            <w:shd w:color="auto" w:fill="auto" w:val="clear"/>
            <w:vAlign w:val="center"/>
          </w:tcPr>
          <w:p>
            <w:pPr>
              <w:pStyle w:val="Normal"/>
              <w:spacing w:lineRule="auto" w:line="240" w:before="0" w:after="0"/>
              <w:ind w:left="34" w:hanging="0"/>
              <w:jc w:val="center"/>
              <w:rPr>
                <w:rFonts w:eastAsia="Times New Roman" w:cs="Times New Roman"/>
                <w:bCs/>
                <w:sz w:val="22"/>
                <w:lang w:eastAsia="ru-RU"/>
              </w:rPr>
            </w:pPr>
            <w:r>
              <w:rPr>
                <w:rFonts w:eastAsia="Times New Roman" w:cs="Times New Roman"/>
                <w:bCs/>
                <w:sz w:val="22"/>
                <w:lang w:eastAsia="ru-RU"/>
              </w:rPr>
              <w:t>4 кв. 2021</w:t>
            </w:r>
          </w:p>
        </w:tc>
        <w:tc>
          <w:tcPr>
            <w:tcW w:w="850" w:type="dxa"/>
            <w:tcBorders>
              <w:top w:val="single" w:sz="4" w:space="0" w:color="000000"/>
              <w:right w:val="single" w:sz="4" w:space="0" w:color="000000"/>
            </w:tcBorders>
            <w:shd w:color="auto" w:fill="auto" w:val="clear"/>
            <w:vAlign w:val="center"/>
          </w:tcPr>
          <w:p>
            <w:pPr>
              <w:pStyle w:val="Normal"/>
              <w:spacing w:lineRule="auto" w:line="240" w:before="0" w:after="0"/>
              <w:ind w:left="34" w:hanging="0"/>
              <w:rPr>
                <w:rFonts w:eastAsia="Times New Roman" w:cs="Times New Roman"/>
                <w:bCs/>
                <w:sz w:val="22"/>
                <w:lang w:eastAsia="ru-RU"/>
              </w:rPr>
            </w:pPr>
            <w:r>
              <w:rPr>
                <w:rFonts w:eastAsia="Times New Roman" w:cs="Times New Roman"/>
                <w:bCs/>
                <w:sz w:val="22"/>
                <w:lang w:eastAsia="ru-RU"/>
              </w:rPr>
              <w:t>1 кв. 2022</w:t>
            </w:r>
          </w:p>
        </w:tc>
        <w:tc>
          <w:tcPr>
            <w:tcW w:w="849" w:type="dxa"/>
            <w:tcBorders>
              <w:top w:val="single" w:sz="4" w:space="0" w:color="000000"/>
              <w:right w:val="single" w:sz="4" w:space="0" w:color="000000"/>
            </w:tcBorders>
            <w:shd w:color="auto" w:fill="auto" w:val="clear"/>
            <w:vAlign w:val="center"/>
          </w:tcPr>
          <w:p>
            <w:pPr>
              <w:pStyle w:val="Normal"/>
              <w:spacing w:lineRule="auto" w:line="240" w:before="0" w:after="0"/>
              <w:ind w:left="34" w:hanging="0"/>
              <w:rPr>
                <w:rFonts w:eastAsia="Times New Roman" w:cs="Times New Roman"/>
                <w:bCs/>
                <w:sz w:val="22"/>
                <w:lang w:eastAsia="ru-RU"/>
              </w:rPr>
            </w:pPr>
            <w:r>
              <w:rPr>
                <w:rFonts w:eastAsia="Times New Roman" w:cs="Times New Roman"/>
                <w:bCs/>
                <w:sz w:val="22"/>
                <w:lang w:eastAsia="ru-RU"/>
              </w:rPr>
              <w:t>2 кв. 2022</w:t>
            </w:r>
          </w:p>
        </w:tc>
        <w:tc>
          <w:tcPr>
            <w:tcW w:w="854" w:type="dxa"/>
            <w:tcBorders>
              <w:top w:val="single" w:sz="4" w:space="0" w:color="000000"/>
              <w:right w:val="single" w:sz="4" w:space="0" w:color="000000"/>
            </w:tcBorders>
            <w:shd w:color="auto" w:fill="auto" w:val="clear"/>
            <w:vAlign w:val="center"/>
          </w:tcPr>
          <w:p>
            <w:pPr>
              <w:pStyle w:val="Normal"/>
              <w:spacing w:lineRule="auto" w:line="240" w:before="0" w:after="0"/>
              <w:ind w:left="34" w:hanging="0"/>
              <w:rPr>
                <w:rFonts w:eastAsia="Times New Roman" w:cs="Times New Roman"/>
                <w:bCs/>
                <w:sz w:val="22"/>
                <w:lang w:eastAsia="ru-RU"/>
              </w:rPr>
            </w:pPr>
            <w:r>
              <w:rPr>
                <w:rFonts w:eastAsia="Times New Roman" w:cs="Times New Roman"/>
                <w:bCs/>
                <w:sz w:val="22"/>
                <w:lang w:eastAsia="ru-RU"/>
              </w:rPr>
              <w:t>3 кв. 2022</w:t>
            </w:r>
          </w:p>
        </w:tc>
      </w:tr>
    </w:tbl>
    <w:p>
      <w:pPr>
        <w:pStyle w:val="Normal"/>
        <w:spacing w:lineRule="auto" w:line="240" w:before="0" w:after="0"/>
        <w:ind w:right="-172" w:hanging="0"/>
        <w:jc w:val="right"/>
        <w:rPr>
          <w:rFonts w:eastAsia="Times New Roman" w:cs="Times New Roman"/>
          <w:sz w:val="2"/>
          <w:szCs w:val="2"/>
          <w:lang w:eastAsia="ru-RU"/>
        </w:rPr>
      </w:pPr>
      <w:r>
        <w:rPr>
          <w:rFonts w:eastAsia="Times New Roman" w:cs="Times New Roman"/>
          <w:sz w:val="2"/>
          <w:szCs w:val="2"/>
          <w:lang w:eastAsia="ru-RU"/>
        </w:rPr>
        <mc:AlternateContent>
          <mc:Choice Requires="wps">
            <w:drawing>
              <wp:anchor behindDoc="1" distT="0" distB="0" distL="0" distR="0" simplePos="0" locked="0" layoutInCell="1" allowOverlap="1" relativeHeight="29">
                <wp:simplePos x="0" y="0"/>
                <wp:positionH relativeFrom="column">
                  <wp:posOffset>6265545</wp:posOffset>
                </wp:positionH>
                <wp:positionV relativeFrom="paragraph">
                  <wp:posOffset>2428875</wp:posOffset>
                </wp:positionV>
                <wp:extent cx="549275" cy="386715"/>
                <wp:effectExtent l="0" t="0" r="3810" b="0"/>
                <wp:wrapNone/>
                <wp:docPr id="15" name="Надпись 2"/>
                <a:graphic xmlns:a="http://schemas.openxmlformats.org/drawingml/2006/main">
                  <a:graphicData uri="http://schemas.microsoft.com/office/word/2010/wordprocessingShape">
                    <wps:wsp>
                      <wps:cNvSpPr/>
                      <wps:spPr>
                        <a:xfrm>
                          <a:off x="0" y="0"/>
                          <a:ext cx="548640" cy="385920"/>
                        </a:xfrm>
                        <a:prstGeom prst="rect">
                          <a:avLst/>
                        </a:prstGeom>
                        <a:solidFill>
                          <a:srgbClr val="ffffff"/>
                        </a:solidFill>
                        <a:ln w="9360">
                          <a:noFill/>
                        </a:ln>
                      </wps:spPr>
                      <wps:style>
                        <a:lnRef idx="0"/>
                        <a:fillRef idx="0"/>
                        <a:effectRef idx="0"/>
                        <a:fontRef idx="minor"/>
                      </wps:style>
                      <wps:txbx>
                        <w:txbxContent>
                          <w:p>
                            <w:pPr>
                              <w:pStyle w:val="Style37"/>
                              <w:spacing w:before="0" w:after="200"/>
                              <w:rPr/>
                            </w:pPr>
                            <w:r>
                              <w:rPr/>
                            </w:r>
                          </w:p>
                        </w:txbxContent>
                      </wps:txbx>
                      <wps:bodyPr>
                        <a:spAutoFit/>
                      </wps:bodyPr>
                    </wps:wsp>
                  </a:graphicData>
                </a:graphic>
              </wp:anchor>
            </w:drawing>
          </mc:Choice>
          <mc:Fallback>
            <w:pict>
              <v:rect id="shape_0" ID="Надпись 2" fillcolor="white" stroked="f" style="position:absolute;margin-left:493.35pt;margin-top:191.25pt;width:43.15pt;height:30.35pt">
                <w10:wrap type="none"/>
                <v:fill o:detectmouseclick="t" type="solid" color2="black"/>
                <v:stroke color="#3465a4" weight="9360" joinstyle="miter" endcap="flat"/>
                <v:textbox>
                  <w:txbxContent>
                    <w:p>
                      <w:pPr>
                        <w:pStyle w:val="Style37"/>
                        <w:spacing w:before="0" w:after="200"/>
                        <w:rPr/>
                      </w:pPr>
                      <w:r>
                        <w:rPr/>
                      </w:r>
                    </w:p>
                  </w:txbxContent>
                </v:textbox>
              </v:rect>
            </w:pict>
          </mc:Fallback>
        </mc:AlternateContent>
        <mc:AlternateContent>
          <mc:Choice Requires="wps">
            <w:drawing>
              <wp:anchor behindDoc="1" distT="0" distB="0" distL="0" distR="0" simplePos="0" locked="0" layoutInCell="1" allowOverlap="1" relativeHeight="32" wp14:anchorId="3734A5AE">
                <wp:simplePos x="0" y="0"/>
                <wp:positionH relativeFrom="column">
                  <wp:posOffset>6219825</wp:posOffset>
                </wp:positionH>
                <wp:positionV relativeFrom="paragraph">
                  <wp:posOffset>1703070</wp:posOffset>
                </wp:positionV>
                <wp:extent cx="549275" cy="386715"/>
                <wp:effectExtent l="0" t="0" r="3810" b="0"/>
                <wp:wrapNone/>
                <wp:docPr id="17" name="Надпись 2"/>
                <a:graphic xmlns:a="http://schemas.openxmlformats.org/drawingml/2006/main">
                  <a:graphicData uri="http://schemas.microsoft.com/office/word/2010/wordprocessingShape">
                    <wps:wsp>
                      <wps:cNvSpPr/>
                      <wps:spPr>
                        <a:xfrm>
                          <a:off x="0" y="0"/>
                          <a:ext cx="548640" cy="385920"/>
                        </a:xfrm>
                        <a:prstGeom prst="rect">
                          <a:avLst/>
                        </a:prstGeom>
                        <a:solidFill>
                          <a:srgbClr val="ffffff"/>
                        </a:solidFill>
                        <a:ln w="9360">
                          <a:noFill/>
                        </a:ln>
                      </wps:spPr>
                      <wps:style>
                        <a:lnRef idx="0"/>
                        <a:fillRef idx="0"/>
                        <a:effectRef idx="0"/>
                        <a:fontRef idx="minor"/>
                      </wps:style>
                      <wps:txbx>
                        <w:txbxContent>
                          <w:p>
                            <w:pPr>
                              <w:pStyle w:val="Style37"/>
                              <w:spacing w:before="0" w:after="200"/>
                              <w:rPr/>
                            </w:pPr>
                            <w:r>
                              <w:rPr/>
                            </w:r>
                          </w:p>
                        </w:txbxContent>
                      </wps:txbx>
                      <wps:bodyPr>
                        <a:spAutoFit/>
                      </wps:bodyPr>
                    </wps:wsp>
                  </a:graphicData>
                </a:graphic>
              </wp:anchor>
            </w:drawing>
          </mc:Choice>
          <mc:Fallback>
            <w:pict>
              <v:rect id="shape_0" ID="Надпись 2" fillcolor="white" stroked="f" style="position:absolute;margin-left:489.75pt;margin-top:134.1pt;width:43.15pt;height:30.35pt" wp14:anchorId="3734A5AE">
                <w10:wrap type="none"/>
                <v:fill o:detectmouseclick="t" type="solid" color2="black"/>
                <v:stroke color="#3465a4" weight="9360" joinstyle="miter" endcap="flat"/>
                <v:textbox>
                  <w:txbxContent>
                    <w:p>
                      <w:pPr>
                        <w:pStyle w:val="Style37"/>
                        <w:spacing w:before="0" w:after="200"/>
                        <w:rPr/>
                      </w:pPr>
                      <w:r>
                        <w:rPr/>
                      </w:r>
                    </w:p>
                  </w:txbxContent>
                </v:textbox>
              </v:rect>
            </w:pict>
          </mc:Fallback>
        </mc:AlternateContent>
      </w:r>
    </w:p>
    <w:tbl>
      <w:tblPr>
        <w:tblW w:w="9640" w:type="dxa"/>
        <w:jc w:val="left"/>
        <w:tblInd w:w="421" w:type="dxa"/>
        <w:tblCellMar>
          <w:top w:w="0" w:type="dxa"/>
          <w:left w:w="108" w:type="dxa"/>
          <w:bottom w:w="0" w:type="dxa"/>
          <w:right w:w="108" w:type="dxa"/>
        </w:tblCellMar>
        <w:tblLook w:val="04a0" w:noVBand="1" w:noHBand="0" w:lastColumn="0" w:firstColumn="1" w:lastRow="0" w:firstRow="1"/>
      </w:tblPr>
      <w:tblGrid>
        <w:gridCol w:w="3118"/>
        <w:gridCol w:w="1559"/>
        <w:gridCol w:w="1560"/>
        <w:gridCol w:w="849"/>
        <w:gridCol w:w="850"/>
        <w:gridCol w:w="849"/>
        <w:gridCol w:w="854"/>
      </w:tblGrid>
      <w:tr>
        <w:trPr>
          <w:tblHeader w:val="true"/>
          <w:trHeight w:val="20" w:hRule="atLeast"/>
          <w:cantSplit w:val="true"/>
        </w:trPr>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156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sz w:val="22"/>
                <w:lang w:eastAsia="ru-RU"/>
              </w:rPr>
            </w:pPr>
            <w:r>
              <w:rPr>
                <w:rFonts w:eastAsia="Times New Roman" w:cs="Times New Roman"/>
                <w:sz w:val="22"/>
                <w:lang w:eastAsia="ru-RU"/>
              </w:rPr>
              <w:t>3</w:t>
            </w:r>
          </w:p>
        </w:tc>
        <w:tc>
          <w:tcPr>
            <w:tcW w:w="84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s="Times New Roman"/>
                <w:sz w:val="22"/>
                <w:lang w:eastAsia="ru-RU"/>
              </w:rPr>
            </w:pPr>
            <w:r>
              <w:rPr>
                <w:rFonts w:eastAsia="Times New Roman" w:cs="Times New Roman"/>
                <w:sz w:val="22"/>
                <w:lang w:eastAsia="ru-RU"/>
              </w:rPr>
              <w:t>4</w:t>
            </w:r>
          </w:p>
        </w:tc>
        <w:tc>
          <w:tcPr>
            <w:tcW w:w="85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sz w:val="22"/>
                <w:lang w:eastAsia="ru-RU"/>
              </w:rPr>
            </w:pPr>
            <w:r>
              <w:rPr>
                <w:rFonts w:eastAsia="Times New Roman" w:cs="Times New Roman"/>
                <w:sz w:val="22"/>
                <w:lang w:eastAsia="ru-RU"/>
              </w:rPr>
              <w:t>5</w:t>
            </w:r>
          </w:p>
        </w:tc>
        <w:tc>
          <w:tcPr>
            <w:tcW w:w="84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sz w:val="22"/>
                <w:lang w:eastAsia="ru-RU"/>
              </w:rPr>
            </w:pPr>
            <w:r>
              <w:rPr>
                <w:rFonts w:eastAsia="Times New Roman" w:cs="Times New Roman"/>
                <w:sz w:val="22"/>
                <w:lang w:eastAsia="ru-RU"/>
              </w:rPr>
              <w:t>6</w:t>
            </w:r>
          </w:p>
        </w:tc>
        <w:tc>
          <w:tcPr>
            <w:tcW w:w="854"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sz w:val="22"/>
                <w:lang w:eastAsia="ru-RU"/>
              </w:rPr>
            </w:pPr>
            <w:r>
              <w:rPr>
                <w:rFonts w:eastAsia="Times New Roman" w:cs="Times New Roman"/>
                <w:sz w:val="22"/>
                <w:lang w:eastAsia="ru-RU"/>
              </w:rPr>
              <w:t>7</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Абинский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3</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3</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Апшеронский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Белоглинский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Белореченский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4</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Брюховецкий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3</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Выселковский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г. Анапа</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г. Армавир</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16</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6</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г. Геленджик</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г. Горячий Ключ</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г. Краснодар</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60</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16</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6</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5</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5</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г. Новороссийск</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20</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4</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3</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3</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г. Сочи</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14</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8</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3</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3</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Гулькевичский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4</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Динской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9</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3</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Ейский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8</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5</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Кавказский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6</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Калининский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Каневской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9</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3</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Кореновский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4</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Красноармейский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4</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Крыловский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Крымский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Курганинский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3</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Кущевский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Лабинский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4</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3</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Ленинградский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7</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4</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Мостовский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0</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Новокубанский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4</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Новопокровский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Отрадненский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Павловский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3</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Приморско-Ахтарский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3</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Северский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Славянский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6</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4</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Староминский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Тбилисский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Темрюкский район</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Тимашевский район</w:t>
            </w:r>
          </w:p>
        </w:tc>
        <w:tc>
          <w:tcPr>
            <w:tcW w:w="155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7</w:t>
            </w:r>
          </w:p>
        </w:tc>
        <w:tc>
          <w:tcPr>
            <w:tcW w:w="156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3</w:t>
            </w:r>
          </w:p>
        </w:tc>
        <w:tc>
          <w:tcPr>
            <w:tcW w:w="84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4"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Тихорецкий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5</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Туапсинский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4</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Успенский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Усть-Лабинский район</w:t>
            </w:r>
          </w:p>
        </w:tc>
        <w:tc>
          <w:tcPr>
            <w:tcW w:w="1559" w:type="dxa"/>
            <w:tcBorders>
              <w:bottom w:val="single" w:sz="4" w:space="0" w:color="000000"/>
              <w:right w:val="single" w:sz="4" w:space="0" w:color="000000"/>
            </w:tcBorders>
            <w:shd w:color="000000" w:fill="FFFFFF"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8</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3</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0" w:type="dxa"/>
            <w:tcBorders>
              <w:bottom w:val="single" w:sz="4" w:space="0" w:color="000000"/>
              <w:right w:val="single" w:sz="4" w:space="0" w:color="000000"/>
            </w:tcBorders>
            <w:shd w:color="000000" w:fill="FFFFFF"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49" w:type="dxa"/>
            <w:tcBorders>
              <w:bottom w:val="single" w:sz="4" w:space="0" w:color="000000"/>
              <w:right w:val="single" w:sz="4" w:space="0" w:color="000000"/>
            </w:tcBorders>
            <w:shd w:color="000000" w:fill="FFFFFF"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4" w:type="dxa"/>
            <w:tcBorders>
              <w:bottom w:val="single" w:sz="4" w:space="0" w:color="000000"/>
              <w:right w:val="single" w:sz="4" w:space="0" w:color="000000"/>
            </w:tcBorders>
            <w:shd w:color="000000" w:fill="FFFFFF"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Щербиновский район</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0</w:t>
            </w:r>
          </w:p>
        </w:tc>
      </w:tr>
      <w:tr>
        <w:trPr>
          <w:trHeight w:val="20" w:hRule="atLeast"/>
        </w:trPr>
        <w:tc>
          <w:tcPr>
            <w:tcW w:w="311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s="Times New Roman"/>
                <w:bCs/>
                <w:sz w:val="22"/>
                <w:lang w:eastAsia="ru-RU"/>
              </w:rPr>
            </w:pPr>
            <w:r>
              <w:rPr>
                <w:rFonts w:eastAsia="Times New Roman" w:cs="Times New Roman"/>
                <w:bCs/>
                <w:sz w:val="22"/>
                <w:lang w:eastAsia="ru-RU"/>
              </w:rPr>
              <w:t>Всего:</w:t>
            </w:r>
          </w:p>
        </w:tc>
        <w:tc>
          <w:tcPr>
            <w:tcW w:w="155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248</w:t>
            </w:r>
          </w:p>
        </w:tc>
        <w:tc>
          <w:tcPr>
            <w:tcW w:w="156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center"/>
              <w:rPr>
                <w:rFonts w:eastAsia="Times New Roman" w:cs="Times New Roman"/>
                <w:bCs/>
                <w:sz w:val="22"/>
                <w:lang w:eastAsia="ru-RU"/>
              </w:rPr>
            </w:pPr>
            <w:r>
              <w:rPr>
                <w:rFonts w:eastAsia="Times New Roman" w:cs="Times New Roman"/>
                <w:bCs/>
                <w:sz w:val="22"/>
                <w:lang w:eastAsia="ru-RU"/>
              </w:rPr>
              <w:t>106</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13</w:t>
            </w:r>
          </w:p>
        </w:tc>
        <w:tc>
          <w:tcPr>
            <w:tcW w:w="850"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50</w:t>
            </w:r>
          </w:p>
        </w:tc>
        <w:tc>
          <w:tcPr>
            <w:tcW w:w="849"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26</w:t>
            </w:r>
          </w:p>
        </w:tc>
        <w:tc>
          <w:tcPr>
            <w:tcW w:w="854" w:type="dxa"/>
            <w:tcBorders>
              <w:bottom w:val="single" w:sz="4" w:space="0" w:color="000000"/>
              <w:right w:val="single" w:sz="4" w:space="0" w:color="000000"/>
            </w:tcBorders>
            <w:shd w:color="auto" w:fill="auto" w:val="clear"/>
            <w:vAlign w:val="center"/>
          </w:tcPr>
          <w:p>
            <w:pPr>
              <w:pStyle w:val="Normal"/>
              <w:spacing w:lineRule="auto" w:line="240" w:before="0" w:after="0"/>
              <w:ind w:left="142" w:hanging="0"/>
              <w:jc w:val="right"/>
              <w:rPr>
                <w:rFonts w:eastAsia="Times New Roman" w:cs="Times New Roman"/>
                <w:sz w:val="22"/>
                <w:lang w:eastAsia="ru-RU"/>
              </w:rPr>
            </w:pPr>
            <w:r>
              <w:rPr>
                <w:rFonts w:eastAsia="Times New Roman" w:cs="Times New Roman"/>
                <w:sz w:val="22"/>
                <w:lang w:eastAsia="ru-RU"/>
              </w:rPr>
              <w:t>17</w:t>
            </w:r>
          </w:p>
        </w:tc>
      </w:tr>
    </w:tbl>
    <w:p>
      <w:pPr>
        <w:pStyle w:val="Normal"/>
        <w:spacing w:lineRule="auto" w:line="240" w:before="0" w:after="0"/>
        <w:ind w:right="-172" w:hanging="0"/>
        <w:jc w:val="right"/>
        <w:rPr>
          <w:rFonts w:eastAsia="Times New Roman" w:cs="Times New Roman"/>
          <w:szCs w:val="28"/>
          <w:lang w:eastAsia="ru-RU"/>
        </w:rPr>
      </w:pPr>
      <w:r>
        <w:rPr>
          <w:rFonts w:eastAsia="Times New Roman" w:cs="Times New Roman"/>
          <w:szCs w:val="28"/>
          <w:lang w:eastAsia="ru-RU"/>
        </w:rPr>
        <mc:AlternateContent>
          <mc:Choice Requires="wps">
            <w:drawing>
              <wp:anchor behindDoc="1" distT="0" distB="0" distL="0" distR="0" simplePos="0" locked="0" layoutInCell="1" allowOverlap="1" relativeHeight="31" wp14:anchorId="0A7C3AE1">
                <wp:simplePos x="0" y="0"/>
                <wp:positionH relativeFrom="column">
                  <wp:posOffset>3151505</wp:posOffset>
                </wp:positionH>
                <wp:positionV relativeFrom="paragraph">
                  <wp:posOffset>-1927225</wp:posOffset>
                </wp:positionV>
                <wp:extent cx="549275" cy="386715"/>
                <wp:effectExtent l="0" t="0" r="3810" b="0"/>
                <wp:wrapNone/>
                <wp:docPr id="19" name="Надпись 2"/>
                <a:graphic xmlns:a="http://schemas.openxmlformats.org/drawingml/2006/main">
                  <a:graphicData uri="http://schemas.microsoft.com/office/word/2010/wordprocessingShape">
                    <wps:wsp>
                      <wps:cNvSpPr/>
                      <wps:spPr>
                        <a:xfrm>
                          <a:off x="0" y="0"/>
                          <a:ext cx="548640" cy="385920"/>
                        </a:xfrm>
                        <a:prstGeom prst="rect">
                          <a:avLst/>
                        </a:prstGeom>
                        <a:solidFill>
                          <a:srgbClr val="ffffff"/>
                        </a:solidFill>
                        <a:ln w="9360">
                          <a:noFill/>
                        </a:ln>
                      </wps:spPr>
                      <wps:style>
                        <a:lnRef idx="0"/>
                        <a:fillRef idx="0"/>
                        <a:effectRef idx="0"/>
                        <a:fontRef idx="minor"/>
                      </wps:style>
                      <wps:txbx>
                        <w:txbxContent>
                          <w:p>
                            <w:pPr>
                              <w:pStyle w:val="Style37"/>
                              <w:spacing w:before="0" w:after="200"/>
                              <w:rPr/>
                            </w:pPr>
                            <w:r>
                              <w:rPr/>
                              <w:t>2</w:t>
                            </w:r>
                          </w:p>
                        </w:txbxContent>
                      </wps:txbx>
                      <wps:bodyPr>
                        <a:spAutoFit/>
                      </wps:bodyPr>
                    </wps:wsp>
                  </a:graphicData>
                </a:graphic>
              </wp:anchor>
            </w:drawing>
          </mc:Choice>
          <mc:Fallback>
            <w:pict>
              <v:rect id="shape_0" ID="Надпись 2" fillcolor="white" stroked="f" style="position:absolute;margin-left:248.15pt;margin-top:-151.75pt;width:43.15pt;height:30.35pt" wp14:anchorId="0A7C3AE1">
                <w10:wrap type="square"/>
                <v:fill o:detectmouseclick="t" type="solid" color2="black"/>
                <v:stroke color="#3465a4" weight="9360" joinstyle="miter" endcap="flat"/>
                <v:textbox>
                  <w:txbxContent>
                    <w:p>
                      <w:pPr>
                        <w:pStyle w:val="Style37"/>
                        <w:spacing w:before="0" w:after="200"/>
                        <w:rPr/>
                      </w:pPr>
                      <w:r>
                        <w:rPr/>
                        <w:t>2</w:t>
                      </w:r>
                    </w:p>
                  </w:txbxContent>
                </v:textbox>
              </v:rect>
            </w:pict>
          </mc:Fallback>
        </mc:AlternateContent>
      </w:r>
    </w:p>
    <w:p>
      <w:pPr>
        <w:pStyle w:val="Normal"/>
        <w:spacing w:lineRule="auto" w:line="240" w:before="0" w:after="0"/>
        <w:ind w:right="-172" w:hanging="0"/>
        <w:jc w:val="right"/>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szCs w:val="28"/>
          <w:lang w:eastAsia="ru-RU"/>
        </w:rPr>
        <w:t>».</w:t>
      </w:r>
    </w:p>
    <w:p>
      <w:pPr>
        <w:pStyle w:val="Normal"/>
        <w:spacing w:lineRule="auto" w:line="240" w:before="0" w:after="0"/>
        <w:ind w:right="-31" w:hanging="0"/>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ind w:left="426" w:right="-31" w:hanging="0"/>
        <w:rPr>
          <w:rFonts w:eastAsia="Times New Roman" w:cs="Times New Roman"/>
          <w:szCs w:val="28"/>
          <w:lang w:eastAsia="ru-RU"/>
        </w:rPr>
      </w:pPr>
      <w:r>
        <w:rPr>
          <w:rFonts w:eastAsia="Times New Roman" w:cs="Times New Roman"/>
          <w:szCs w:val="28"/>
          <w:lang w:eastAsia="ru-RU"/>
        </w:rPr>
        <w:t xml:space="preserve">Заместитель министра экономики </w:t>
      </w:r>
    </w:p>
    <w:p>
      <w:pPr>
        <w:pStyle w:val="Normal"/>
        <w:spacing w:lineRule="auto" w:line="240" w:before="0" w:after="0"/>
        <w:ind w:left="426" w:right="-427" w:hanging="0"/>
        <w:rPr>
          <w:rFonts w:eastAsia="Times New Roman" w:cs="Times New Roman"/>
          <w:szCs w:val="28"/>
          <w:lang w:eastAsia="ru-RU"/>
        </w:rPr>
      </w:pPr>
      <w:r>
        <w:rPr>
          <w:rFonts w:eastAsia="Times New Roman" w:cs="Times New Roman"/>
          <w:szCs w:val="28"/>
          <w:lang w:eastAsia="ru-RU"/>
        </w:rPr>
        <w:t>Краснодарского края                                                                                                  С.Н. Салтанова</w:t>
      </w:r>
    </w:p>
    <w:p>
      <w:pPr>
        <w:pStyle w:val="Normal"/>
        <w:spacing w:lineRule="auto" w:line="240" w:before="0" w:after="0"/>
        <w:ind w:right="-31" w:hanging="142"/>
        <w:rPr/>
      </w:pPr>
      <w:r>
        <w:rPr/>
        <mc:AlternateContent>
          <mc:Choice Requires="wps">
            <w:drawing>
              <wp:anchor behindDoc="1" distT="0" distB="0" distL="0" distR="0" simplePos="0" locked="0" layoutInCell="1" allowOverlap="1" relativeHeight="30" wp14:anchorId="0A7C3AE1">
                <wp:simplePos x="0" y="0"/>
                <wp:positionH relativeFrom="column">
                  <wp:posOffset>6128385</wp:posOffset>
                </wp:positionH>
                <wp:positionV relativeFrom="paragraph">
                  <wp:posOffset>1996440</wp:posOffset>
                </wp:positionV>
                <wp:extent cx="549275" cy="386715"/>
                <wp:effectExtent l="0" t="0" r="3810" b="0"/>
                <wp:wrapNone/>
                <wp:docPr id="21" name="Надпись 2"/>
                <a:graphic xmlns:a="http://schemas.openxmlformats.org/drawingml/2006/main">
                  <a:graphicData uri="http://schemas.microsoft.com/office/word/2010/wordprocessingShape">
                    <wps:wsp>
                      <wps:cNvSpPr/>
                      <wps:spPr>
                        <a:xfrm>
                          <a:off x="0" y="0"/>
                          <a:ext cx="548640" cy="385920"/>
                        </a:xfrm>
                        <a:prstGeom prst="rect">
                          <a:avLst/>
                        </a:prstGeom>
                        <a:solidFill>
                          <a:srgbClr val="ffffff"/>
                        </a:solidFill>
                        <a:ln w="9360">
                          <a:noFill/>
                        </a:ln>
                      </wps:spPr>
                      <wps:style>
                        <a:lnRef idx="0"/>
                        <a:fillRef idx="0"/>
                        <a:effectRef idx="0"/>
                        <a:fontRef idx="minor"/>
                      </wps:style>
                      <wps:txbx>
                        <w:txbxContent>
                          <w:p>
                            <w:pPr>
                              <w:pStyle w:val="Style37"/>
                              <w:spacing w:before="0" w:after="200"/>
                              <w:rPr/>
                            </w:pPr>
                            <w:r>
                              <w:rPr/>
                            </w:r>
                          </w:p>
                        </w:txbxContent>
                      </wps:txbx>
                      <wps:bodyPr>
                        <a:spAutoFit/>
                      </wps:bodyPr>
                    </wps:wsp>
                  </a:graphicData>
                </a:graphic>
              </wp:anchor>
            </w:drawing>
          </mc:Choice>
          <mc:Fallback>
            <w:pict>
              <v:rect id="shape_0" ID="Надпись 2" fillcolor="white" stroked="f" style="position:absolute;margin-left:482.55pt;margin-top:157.2pt;width:43.15pt;height:30.35pt" wp14:anchorId="0A7C3AE1">
                <w10:wrap type="none"/>
                <v:fill o:detectmouseclick="t" type="solid" color2="black"/>
                <v:stroke color="#3465a4" weight="9360" joinstyle="miter" endcap="flat"/>
                <v:textbox>
                  <w:txbxContent>
                    <w:p>
                      <w:pPr>
                        <w:pStyle w:val="Style37"/>
                        <w:spacing w:before="0" w:after="200"/>
                        <w:rPr/>
                      </w:pPr>
                      <w:r>
                        <w:rPr/>
                      </w:r>
                    </w:p>
                  </w:txbxContent>
                </v:textbox>
              </v:rect>
            </w:pict>
          </mc:Fallback>
        </mc:AlternateContent>
      </w:r>
    </w:p>
    <w:sectPr>
      <w:headerReference w:type="default" r:id="rId12"/>
      <w:type w:val="nextPage"/>
      <w:pgSz w:w="11906" w:h="16838"/>
      <w:pgMar w:left="1134" w:right="1134" w:header="709" w:top="1134" w:footer="0" w:bottom="1134" w:gutter="0"/>
      <w:pgNumType w:start="1"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Calibri Light">
    <w:charset w:val="01"/>
    <w:family w:val="roman"/>
    <w:pitch w:val="variable"/>
  </w:font>
  <w:font w:name="Consolas">
    <w:charset w:val="01"/>
    <w:family w:val="roman"/>
    <w:pitch w:val="variable"/>
  </w:font>
  <w:font w:name="Liberation Sans">
    <w:altName w:val="Arial"/>
    <w:charset w:val="01"/>
    <w:family w:val="swiss"/>
    <w:pitch w:val="variable"/>
  </w:font>
  <w:font w:name="Verdana">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mc:AlternateContent>
        <mc:Choice Requires="wps">
          <w:drawing>
            <wp:anchor behindDoc="1" distT="0" distB="0" distL="0" distR="0" simplePos="0" locked="0" layoutInCell="1" allowOverlap="1" relativeHeight="4" wp14:anchorId="0A999BDE">
              <wp:simplePos x="0" y="0"/>
              <wp:positionH relativeFrom="rightMargin">
                <wp:posOffset>-154305</wp:posOffset>
              </wp:positionH>
              <wp:positionV relativeFrom="page">
                <wp:posOffset>3332480</wp:posOffset>
              </wp:positionV>
              <wp:extent cx="762635" cy="895985"/>
              <wp:effectExtent l="0" t="0" r="0" b="0"/>
              <wp:wrapNone/>
              <wp:docPr id="5" name="Прямоугольник 14"/>
              <a:graphic xmlns:a="http://schemas.openxmlformats.org/drawingml/2006/main">
                <a:graphicData uri="http://schemas.microsoft.com/office/word/2010/wordprocessingShape">
                  <wps:wsp>
                    <wps:cNvSpPr/>
                    <wps:spPr>
                      <a:xfrm>
                        <a:off x="0" y="0"/>
                        <a:ext cx="762120" cy="895320"/>
                      </a:xfrm>
                      <a:prstGeom prst="rect">
                        <a:avLst/>
                      </a:prstGeom>
                      <a:solidFill>
                        <a:srgbClr val="ffffff"/>
                      </a:solidFill>
                      <a:ln>
                        <a:noFill/>
                      </a:ln>
                    </wps:spPr>
                    <wps:style>
                      <a:lnRef idx="0"/>
                      <a:fillRef idx="0"/>
                      <a:effectRef idx="0"/>
                      <a:fontRef idx="minor"/>
                    </wps:style>
                    <wps:txbx>
                      <w:txbxContent>
                        <w:sdt>
                          <w:sdtPr>
                            <w:docPartObj>
                              <w:docPartGallery w:val="Page Numbers (Margins)"/>
                              <w:docPartUnique w:val="true"/>
                            </w:docPartObj>
                            <w:id w:val="1715294380"/>
                          </w:sdtPr>
                          <w:sdtContent>
                            <w:p>
                              <w:pPr>
                                <w:pStyle w:val="Style37"/>
                                <w:spacing w:before="0" w:after="200"/>
                                <w:jc w:val="center"/>
                                <w:rPr/>
                              </w:pPr>
                              <w:r>
                                <w:rPr>
                                  <w:rFonts w:eastAsia="Times New Roman"/>
                                  <w:szCs w:val="28"/>
                                </w:rPr>
                                <w:fldChar w:fldCharType="begin"/>
                              </w:r>
                              <w:r>
                                <w:rPr>
                                  <w:szCs w:val="28"/>
                                  <w:rFonts w:eastAsia="Times New Roman"/>
                                </w:rPr>
                                <w:instrText> PAGE </w:instrText>
                              </w:r>
                              <w:r>
                                <w:rPr>
                                  <w:szCs w:val="28"/>
                                  <w:rFonts w:eastAsia="Times New Roman"/>
                                </w:rPr>
                                <w:fldChar w:fldCharType="separate"/>
                              </w:r>
                              <w:r>
                                <w:rPr>
                                  <w:szCs w:val="28"/>
                                  <w:rFonts w:eastAsia="Times New Roman"/>
                                </w:rPr>
                                <w:t>2</w:t>
                              </w:r>
                              <w:r>
                                <w:rPr>
                                  <w:szCs w:val="28"/>
                                  <w:rFonts w:eastAsia="Times New Roman"/>
                                </w:rPr>
                                <w:fldChar w:fldCharType="end"/>
                              </w:r>
                            </w:p>
                          </w:sdtContent>
                        </w:sdt>
                      </w:txbxContent>
                    </wps:txbx>
                    <wps:bodyPr vert="vert" rot="5400000">
                      <a:noAutofit/>
                    </wps:bodyPr>
                  </wps:wsp>
                </a:graphicData>
              </a:graphic>
            </wp:anchor>
          </w:drawing>
        </mc:Choice>
        <mc:Fallback>
          <w:pict>
            <v:rect id="shape_0" ID="Прямоугольник 14" fillcolor="white" stroked="f" style="position:absolute;margin-left:-12.15pt;margin-top:262.4pt;width:59.95pt;height:70.45pt;mso-position-horizontal-relative:page;mso-position-vertical-relative:page" wp14:anchorId="0A999BDE">
              <w10:wrap type="square"/>
              <v:fill o:detectmouseclick="t" type="solid" color2="black"/>
              <v:stroke color="#3465a4" joinstyle="round" endcap="flat"/>
              <v:textbox>
                <w:txbxContent>
                  <w:sdt>
                    <w:sdtPr>
                      <w:docPartObj>
                        <w:docPartGallery w:val="Page Numbers (Margins)"/>
                        <w:docPartUnique w:val="true"/>
                      </w:docPartObj>
                      <w:id w:val="615644125"/>
                    </w:sdtPr>
                    <w:sdtContent>
                      <w:p>
                        <w:pPr>
                          <w:pStyle w:val="Style37"/>
                          <w:spacing w:before="0" w:after="200"/>
                          <w:jc w:val="center"/>
                          <w:rPr/>
                        </w:pPr>
                        <w:r>
                          <w:rPr>
                            <w:rFonts w:eastAsia="Times New Roman"/>
                            <w:szCs w:val="28"/>
                          </w:rPr>
                          <w:fldChar w:fldCharType="begin"/>
                        </w:r>
                        <w:r>
                          <w:rPr>
                            <w:szCs w:val="28"/>
                            <w:rFonts w:eastAsia="Times New Roman"/>
                          </w:rPr>
                          <w:instrText> PAGE </w:instrText>
                        </w:r>
                        <w:r>
                          <w:rPr>
                            <w:szCs w:val="28"/>
                            <w:rFonts w:eastAsia="Times New Roman"/>
                          </w:rPr>
                          <w:fldChar w:fldCharType="separate"/>
                        </w:r>
                        <w:r>
                          <w:rPr>
                            <w:szCs w:val="28"/>
                            <w:rFonts w:eastAsia="Times New Roman"/>
                          </w:rPr>
                          <w:t>2</w:t>
                        </w:r>
                        <w:r>
                          <w:rPr>
                            <w:szCs w:val="28"/>
                            <w:rFonts w:eastAsia="Times New Roman"/>
                          </w:rPr>
                          <w:fldChar w:fldCharType="end"/>
                        </w:r>
                      </w:p>
                    </w:sdtContent>
                  </w:sdt>
                </w:txbxContent>
              </v:textbox>
            </v:rect>
          </w:pict>
        </mc:Fallback>
      </mc:AlternateContent>
    </w:r>
    <w:r>
      <w:rPr/>
      <w:t xml:space="preserve"> </w:t>
    </w:r>
  </w:p>
  <w:p>
    <w:pPr>
      <w:pStyle w:val="Style31"/>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r>
  </w:p>
  <w:p>
    <w:pPr>
      <w:pStyle w:val="Style3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t xml:space="preserve"> </w:t>
      <mc:AlternateContent>
        <mc:Choice Requires="wps">
          <w:drawing>
            <wp:anchor behindDoc="1" distT="0" distB="0" distL="0" distR="0" simplePos="0" locked="0" layoutInCell="1" allowOverlap="1" relativeHeight="140" wp14:anchorId="0A999BDE">
              <wp:simplePos x="0" y="0"/>
              <wp:positionH relativeFrom="rightMargin">
                <wp:posOffset>-154305</wp:posOffset>
              </wp:positionH>
              <wp:positionV relativeFrom="page">
                <wp:posOffset>3332480</wp:posOffset>
              </wp:positionV>
              <wp:extent cx="762635" cy="895985"/>
              <wp:effectExtent l="0" t="0" r="0" b="0"/>
              <wp:wrapNone/>
              <wp:docPr id="7" name="Прямоугольник 14"/>
              <a:graphic xmlns:a="http://schemas.openxmlformats.org/drawingml/2006/main">
                <a:graphicData uri="http://schemas.microsoft.com/office/word/2010/wordprocessingShape">
                  <wps:wsp>
                    <wps:cNvSpPr/>
                    <wps:spPr>
                      <a:xfrm>
                        <a:off x="0" y="0"/>
                        <a:ext cx="762120" cy="89532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Прямоугольник 14" fillcolor="white" stroked="f" style="position:absolute;margin-left:-12.15pt;margin-top:262.4pt;width:59.95pt;height:70.45pt;mso-position-horizontal-relative:page;mso-position-vertical-relative:page" wp14:anchorId="0A999BDE">
              <w10:wrap type="none"/>
              <v:fill o:detectmouseclick="t" type="solid" color2="black"/>
              <v:stroke color="#3465a4" joinstyle="round" endcap="flat"/>
            </v:rect>
          </w:pict>
        </mc:Fallback>
      </mc:AlternateContent>
    </w:r>
    <w:r>
      <mc:AlternateContent>
        <mc:Choice Requires="wps">
          <w:drawing>
            <wp:anchor behindDoc="1" distT="0" distB="0" distL="0" distR="0" simplePos="0" locked="0" layoutInCell="1" allowOverlap="1" relativeHeight="244">
              <wp:simplePos x="0" y="0"/>
              <wp:positionH relativeFrom="rightMargin">
                <wp:posOffset>-154305</wp:posOffset>
              </wp:positionH>
              <wp:positionV relativeFrom="page">
                <wp:posOffset>3332480</wp:posOffset>
              </wp:positionV>
              <wp:extent cx="762635" cy="895985"/>
              <wp:effectExtent l="0" t="0" r="0" b="0"/>
              <wp:wrapNone/>
              <wp:docPr id="8" name=""/>
              <a:graphic xmlns:a="http://schemas.openxmlformats.org/drawingml/2006/main">
                <a:graphicData uri="http://schemas.microsoft.com/office/word/2010/wordprocessingShape">
                  <wps:wsp>
                    <wps:cNvSpPr txBox="1"/>
                    <wps:spPr>
                      <a:xfrm>
                        <a:off x="0" y="0"/>
                        <a:ext cx="762635" cy="895985"/>
                      </a:xfrm>
                      <a:prstGeom prst="rect"/>
                    </wps:spPr>
                    <wps:txbx>
                      <w:txbxContent>
                        <w:sdt>
                          <w:sdtPr>
                            <w:docPartObj>
                              <w:docPartGallery w:val="Page Numbers (Margins)"/>
                              <w:docPartUnique w:val="true"/>
                            </w:docPartObj>
                            <w:id w:val="817500429"/>
                          </w:sdtPr>
                          <w:sdtContent>
                            <w:p>
                              <w:pPr>
                                <w:pStyle w:val="Style37"/>
                                <w:spacing w:before="0" w:after="200"/>
                                <w:jc w:val="center"/>
                                <w:rPr/>
                              </w:pPr>
                              <w:r>
                                <w:rPr>
                                  <w:rFonts w:eastAsia="Times New Roman"/>
                                  <w:szCs w:val="28"/>
                                </w:rPr>
                                <w:fldChar w:fldCharType="begin"/>
                              </w:r>
                              <w:r>
                                <w:rPr>
                                  <w:szCs w:val="28"/>
                                  <w:rFonts w:eastAsia="Times New Roman"/>
                                </w:rPr>
                                <w:instrText> PAGE </w:instrText>
                              </w:r>
                              <w:r>
                                <w:rPr>
                                  <w:szCs w:val="28"/>
                                  <w:rFonts w:eastAsia="Times New Roman"/>
                                </w:rPr>
                                <w:fldChar w:fldCharType="separate"/>
                              </w:r>
                              <w:r>
                                <w:rPr>
                                  <w:szCs w:val="28"/>
                                  <w:rFonts w:eastAsia="Times New Roman"/>
                                </w:rPr>
                                <w:t>5</w:t>
                              </w:r>
                              <w:r>
                                <w:rPr>
                                  <w:szCs w:val="28"/>
                                  <w:rFonts w:eastAsia="Times New Roman"/>
                                </w:rPr>
                                <w:fldChar w:fldCharType="end"/>
                              </w:r>
                            </w:p>
                          </w:sdtContent>
                        </w:sdt>
                      </w:txbxContent>
                    </wps:txbx>
                    <wps:bodyPr anchor="t" lIns="91440" tIns="45720" rIns="91440" bIns="45720">
                      <a:noAutofit/>
                    </wps:bodyPr>
                  </wps:wsp>
                </a:graphicData>
              </a:graphic>
            </wp:anchor>
          </w:drawing>
        </mc:Choice>
        <mc:Fallback>
          <w:pict>
            <v:rect style="position:absolute;rotation:0;width:60.05pt;height:70.55pt;mso-wrap-distance-left:5.7pt;mso-wrap-distance-right:5.7pt;mso-wrap-distance-top:5.7pt;mso-wrap-distance-bottom:5.7pt;margin-top:262.4pt;mso-position-vertical-relative:page;margin-left:-12.15pt;mso-position-horizontal-relative:text">
              <v:textbox>
                <w:txbxContent>
                  <w:sdt>
                    <w:sdtPr>
                      <w:docPartObj>
                        <w:docPartGallery w:val="Page Numbers (Margins)"/>
                        <w:docPartUnique w:val="true"/>
                      </w:docPartObj>
                      <w:id w:val="1287913294"/>
                    </w:sdtPr>
                    <w:sdtContent>
                      <w:p>
                        <w:pPr>
                          <w:pStyle w:val="Style37"/>
                          <w:spacing w:before="0" w:after="200"/>
                          <w:jc w:val="center"/>
                          <w:rPr/>
                        </w:pPr>
                        <w:r>
                          <w:rPr>
                            <w:rFonts w:eastAsia="Times New Roman"/>
                            <w:szCs w:val="28"/>
                          </w:rPr>
                          <w:fldChar w:fldCharType="begin"/>
                        </w:r>
                        <w:r>
                          <w:rPr>
                            <w:szCs w:val="28"/>
                            <w:rFonts w:eastAsia="Times New Roman"/>
                          </w:rPr>
                          <w:instrText> PAGE </w:instrText>
                        </w:r>
                        <w:r>
                          <w:rPr>
                            <w:szCs w:val="28"/>
                            <w:rFonts w:eastAsia="Times New Roman"/>
                          </w:rPr>
                          <w:fldChar w:fldCharType="separate"/>
                        </w:r>
                        <w:r>
                          <w:rPr>
                            <w:szCs w:val="28"/>
                            <w:rFonts w:eastAsia="Times New Roman"/>
                          </w:rPr>
                          <w:t>5</w:t>
                        </w:r>
                        <w:r>
                          <w:rPr>
                            <w:szCs w:val="28"/>
                            <w:rFonts w:eastAsia="Times New Roman"/>
                          </w:rPr>
                          <w:fldChar w:fldCharType="end"/>
                        </w:r>
                      </w:p>
                    </w:sdtContent>
                  </w:sdt>
                </w:txbxContent>
              </v:textbox>
            </v:rect>
          </w:pict>
        </mc:Fallback>
      </mc:AlternateContent>
    </w:r>
  </w:p>
  <w:p>
    <w:pPr>
      <w:pStyle w:val="Style31"/>
      <w:rPr>
        <w:u w:val="single"/>
      </w:rPr>
    </w:pPr>
    <w:r>
      <w:rPr>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tabs>
        <w:tab w:val="clear" w:pos="4677"/>
        <w:tab w:val="clear" w:pos="9355"/>
        <w:tab w:val="left" w:pos="4020" w:leader="none"/>
      </w:tabs>
      <w:rPr/>
    </w:pPr>
    <w:r>
      <mc:AlternateContent>
        <mc:Choice Requires="wps">
          <w:drawing>
            <wp:anchor behindDoc="1" distT="0" distB="0" distL="0" distR="0" simplePos="0" locked="0" layoutInCell="1" allowOverlap="1" relativeHeight="28">
              <wp:simplePos x="0" y="0"/>
              <wp:positionH relativeFrom="rightMargin">
                <wp:posOffset>-266065</wp:posOffset>
              </wp:positionH>
              <wp:positionV relativeFrom="margin">
                <wp:align>center</wp:align>
              </wp:positionV>
              <wp:extent cx="762635" cy="895985"/>
              <wp:effectExtent l="0" t="0" r="0" b="0"/>
              <wp:wrapNone/>
              <wp:docPr id="13" name="Прямоугольник 18"/>
              <a:graphic xmlns:a="http://schemas.openxmlformats.org/drawingml/2006/main">
                <a:graphicData uri="http://schemas.microsoft.com/office/word/2010/wordprocessingShape">
                  <wps:wsp>
                    <wps:cNvSpPr/>
                    <wps:spPr>
                      <a:xfrm>
                        <a:off x="0" y="0"/>
                        <a:ext cx="762120" cy="895320"/>
                      </a:xfrm>
                      <a:prstGeom prst="rect">
                        <a:avLst/>
                      </a:prstGeom>
                      <a:solidFill>
                        <a:srgbClr val="ffffff"/>
                      </a:solidFill>
                      <a:ln>
                        <a:noFill/>
                      </a:ln>
                    </wps:spPr>
                    <wps:style>
                      <a:lnRef idx="0"/>
                      <a:fillRef idx="0"/>
                      <a:effectRef idx="0"/>
                      <a:fontRef idx="minor"/>
                    </wps:style>
                    <wps:txbx>
                      <w:txbxContent>
                        <w:sdt>
                          <w:sdtPr>
                            <w:docPartObj>
                              <w:docPartGallery w:val="Page Numbers (Margins)"/>
                              <w:docPartUnique w:val="true"/>
                            </w:docPartObj>
                            <w:id w:val="1592467111"/>
                          </w:sdtPr>
                          <w:sdtContent>
                            <w:p>
                              <w:pPr>
                                <w:pStyle w:val="Style37"/>
                                <w:spacing w:before="0" w:after="200"/>
                                <w:jc w:val="center"/>
                                <w:rPr/>
                              </w:pPr>
                              <w:r>
                                <w:rPr>
                                  <w:rFonts w:eastAsia="" w:cs="Times New Roman" w:eastAsiaTheme="majorEastAsia"/>
                                  <w:szCs w:val="28"/>
                                </w:rPr>
                                <w:fldChar w:fldCharType="begin"/>
                              </w:r>
                              <w:r>
                                <w:rPr>
                                  <w:szCs w:val="28"/>
                                  <w:rFonts w:eastAsia="" w:cs="Times New Roman"/>
                                </w:rPr>
                                <w:instrText> PAGE </w:instrText>
                              </w:r>
                              <w:r>
                                <w:rPr>
                                  <w:szCs w:val="28"/>
                                  <w:rFonts w:eastAsia="" w:cs="Times New Roman"/>
                                </w:rPr>
                                <w:fldChar w:fldCharType="separate"/>
                              </w:r>
                              <w:r>
                                <w:rPr>
                                  <w:szCs w:val="28"/>
                                  <w:rFonts w:eastAsia="" w:cs="Times New Roman"/>
                                </w:rPr>
                                <w:t>23</w:t>
                              </w:r>
                              <w:r>
                                <w:rPr>
                                  <w:szCs w:val="28"/>
                                  <w:rFonts w:eastAsia="" w:cs="Times New Roman"/>
                                </w:rPr>
                                <w:fldChar w:fldCharType="end"/>
                              </w:r>
                            </w:p>
                          </w:sdtContent>
                        </w:sdt>
                      </w:txbxContent>
                    </wps:txbx>
                    <wps:bodyPr vert="vert" rot="5400000">
                      <a:noAutofit/>
                    </wps:bodyPr>
                  </wps:wsp>
                </a:graphicData>
              </a:graphic>
            </wp:anchor>
          </w:drawing>
        </mc:Choice>
        <mc:Fallback>
          <w:pict>
            <v:rect id="shape_0" ID="Прямоугольник 18" fillcolor="white" stroked="f" style="position:absolute;margin-left:-20.95pt;margin-top:205.7pt;width:59.95pt;height:70.45pt;mso-position-horizontal-relative:page;mso-position-vertical:center;mso-position-vertical-relative:margin">
              <w10:wrap type="square"/>
              <v:fill o:detectmouseclick="t" type="solid" color2="black"/>
              <v:stroke color="#3465a4" joinstyle="round" endcap="flat"/>
              <v:textbox>
                <w:txbxContent>
                  <w:sdt>
                    <w:sdtPr>
                      <w:docPartObj>
                        <w:docPartGallery w:val="Page Numbers (Margins)"/>
                        <w:docPartUnique w:val="true"/>
                      </w:docPartObj>
                      <w:id w:val="414515395"/>
                    </w:sdtPr>
                    <w:sdtContent>
                      <w:p>
                        <w:pPr>
                          <w:pStyle w:val="Style37"/>
                          <w:spacing w:before="0" w:after="200"/>
                          <w:jc w:val="center"/>
                          <w:rPr/>
                        </w:pPr>
                        <w:r>
                          <w:rPr>
                            <w:rFonts w:eastAsia="" w:cs="Times New Roman" w:eastAsiaTheme="majorEastAsia"/>
                            <w:szCs w:val="28"/>
                          </w:rPr>
                          <w:fldChar w:fldCharType="begin"/>
                        </w:r>
                        <w:r>
                          <w:rPr>
                            <w:szCs w:val="28"/>
                            <w:rFonts w:eastAsia="" w:cs="Times New Roman"/>
                          </w:rPr>
                          <w:instrText> PAGE </w:instrText>
                        </w:r>
                        <w:r>
                          <w:rPr>
                            <w:szCs w:val="28"/>
                            <w:rFonts w:eastAsia="" w:cs="Times New Roman"/>
                          </w:rPr>
                          <w:fldChar w:fldCharType="separate"/>
                        </w:r>
                        <w:r>
                          <w:rPr>
                            <w:szCs w:val="28"/>
                            <w:rFonts w:eastAsia="" w:cs="Times New Roman"/>
                          </w:rPr>
                          <w:t>23</w:t>
                        </w:r>
                        <w:r>
                          <w:rPr>
                            <w:szCs w:val="28"/>
                            <w:rFonts w:eastAsia="" w:cs="Times New Roman"/>
                          </w:rPr>
                          <w:fldChar w:fldCharType="end"/>
                        </w:r>
                      </w:p>
                    </w:sdtContent>
                  </w:sdt>
                </w:txbxContent>
              </v:textbox>
            </v:rect>
          </w:pict>
        </mc:Fallback>
      </mc:AlternateContent>
    </w: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tabs>
        <w:tab w:val="clear" w:pos="4677"/>
        <w:tab w:val="clear" w:pos="9355"/>
        <w:tab w:val="left" w:pos="4020"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decimal"/>
      <w:lvlText w:val="%1."/>
      <w:lvlJc w:val="left"/>
      <w:pPr>
        <w:ind w:left="720" w:hanging="360"/>
      </w:pPr>
      <w:rPr>
        <w:sz w:val="22"/>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4"/>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804af"/>
    <w:pPr>
      <w:widowControl/>
      <w:suppressAutoHyphens w:val="false"/>
      <w:bidi w:val="0"/>
      <w:spacing w:lineRule="auto" w:line="276" w:before="0" w:after="200"/>
      <w:jc w:val="both"/>
    </w:pPr>
    <w:rPr>
      <w:rFonts w:ascii="Times New Roman" w:hAnsi="Times New Roman" w:eastAsia="Calibri" w:cs="" w:cstheme="minorBidi" w:eastAsiaTheme="minorHAnsi"/>
      <w:color w:val="auto"/>
      <w:kern w:val="0"/>
      <w:sz w:val="28"/>
      <w:szCs w:val="22"/>
      <w:lang w:val="ru-RU" w:eastAsia="en-US" w:bidi="ar-SA"/>
    </w:rPr>
  </w:style>
  <w:style w:type="paragraph" w:styleId="1">
    <w:name w:val="Heading 1"/>
    <w:basedOn w:val="Normal"/>
    <w:next w:val="Normal"/>
    <w:link w:val="10"/>
    <w:uiPriority w:val="9"/>
    <w:qFormat/>
    <w:rsid w:val="00c12d02"/>
    <w:pPr>
      <w:keepNext w:val="true"/>
      <w:keepLines/>
      <w:spacing w:before="240" w:after="0"/>
      <w:outlineLvl w:val="0"/>
    </w:pPr>
    <w:rPr>
      <w:rFonts w:ascii="Cambria" w:hAnsi="Cambria" w:eastAsia="Times New Roman" w:cs="Times New Roman"/>
      <w:color w:val="365F91"/>
      <w:sz w:val="32"/>
      <w:szCs w:val="32"/>
    </w:rPr>
  </w:style>
  <w:style w:type="paragraph" w:styleId="2">
    <w:name w:val="Heading 2"/>
    <w:basedOn w:val="Normal"/>
    <w:link w:val="20"/>
    <w:uiPriority w:val="9"/>
    <w:qFormat/>
    <w:rsid w:val="00c12d02"/>
    <w:pPr>
      <w:spacing w:lineRule="auto" w:line="240" w:beforeAutospacing="1" w:afterAutospacing="1"/>
      <w:jc w:val="left"/>
      <w:outlineLvl w:val="1"/>
    </w:pPr>
    <w:rPr>
      <w:rFonts w:eastAsia="Times New Roman" w:cs="Times New Roman"/>
      <w:b/>
      <w:bCs/>
      <w:sz w:val="36"/>
      <w:szCs w:val="36"/>
      <w:lang w:eastAsia="ru-RU"/>
    </w:rPr>
  </w:style>
  <w:style w:type="paragraph" w:styleId="3">
    <w:name w:val="Heading 3"/>
    <w:basedOn w:val="Normal"/>
    <w:next w:val="Normal"/>
    <w:link w:val="30"/>
    <w:uiPriority w:val="9"/>
    <w:semiHidden/>
    <w:unhideWhenUsed/>
    <w:qFormat/>
    <w:rsid w:val="00c12d02"/>
    <w:pPr>
      <w:keepNext w:val="true"/>
      <w:keepLines/>
      <w:spacing w:before="40" w:after="0"/>
      <w:outlineLvl w:val="2"/>
    </w:pPr>
    <w:rPr>
      <w:rFonts w:ascii="Cambria" w:hAnsi="Cambria" w:eastAsia="Times New Roman" w:cs="Times New Roman"/>
      <w:color w:val="243F60"/>
      <w:sz w:val="24"/>
      <w:szCs w:val="24"/>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link w:val="a3"/>
    <w:uiPriority w:val="99"/>
    <w:qFormat/>
    <w:rsid w:val="00c12d02"/>
    <w:rPr>
      <w:rFonts w:ascii="Times New Roman" w:hAnsi="Times New Roman"/>
      <w:sz w:val="28"/>
    </w:rPr>
  </w:style>
  <w:style w:type="character" w:styleId="Style12" w:customStyle="1">
    <w:name w:val="Основной текст_"/>
    <w:link w:val="31"/>
    <w:qFormat/>
    <w:rsid w:val="00c12d02"/>
    <w:rPr>
      <w:spacing w:val="1"/>
      <w:shd w:fill="FFFFFF" w:val="clear"/>
    </w:rPr>
  </w:style>
  <w:style w:type="character" w:styleId="21" w:customStyle="1">
    <w:name w:val="Заголовок 2 Знак"/>
    <w:basedOn w:val="DefaultParagraphFont"/>
    <w:link w:val="2"/>
    <w:uiPriority w:val="9"/>
    <w:qFormat/>
    <w:rsid w:val="00c12d02"/>
    <w:rPr>
      <w:rFonts w:ascii="Times New Roman" w:hAnsi="Times New Roman" w:eastAsia="Times New Roman" w:cs="Times New Roman"/>
      <w:b/>
      <w:bCs/>
      <w:sz w:val="36"/>
      <w:szCs w:val="36"/>
      <w:lang w:eastAsia="ru-RU"/>
    </w:rPr>
  </w:style>
  <w:style w:type="character" w:styleId="11" w:customStyle="1">
    <w:name w:val="Заголовок 1 Знак"/>
    <w:basedOn w:val="DefaultParagraphFont"/>
    <w:link w:val="1"/>
    <w:uiPriority w:val="9"/>
    <w:qFormat/>
    <w:rsid w:val="00c12d02"/>
    <w:rPr>
      <w:rFonts w:ascii="Cambria" w:hAnsi="Cambria" w:eastAsia="Times New Roman" w:cs="Times New Roman"/>
      <w:color w:val="365F91"/>
      <w:sz w:val="32"/>
      <w:szCs w:val="32"/>
      <w:lang w:eastAsia="en-US"/>
    </w:rPr>
  </w:style>
  <w:style w:type="character" w:styleId="31" w:customStyle="1">
    <w:name w:val="Заголовок 3 Знак"/>
    <w:basedOn w:val="DefaultParagraphFont"/>
    <w:link w:val="3"/>
    <w:uiPriority w:val="9"/>
    <w:semiHidden/>
    <w:qFormat/>
    <w:rsid w:val="00c12d02"/>
    <w:rPr>
      <w:rFonts w:ascii="Cambria" w:hAnsi="Cambria" w:eastAsia="Times New Roman" w:cs="Times New Roman"/>
      <w:color w:val="243F60"/>
      <w:sz w:val="24"/>
      <w:szCs w:val="24"/>
      <w:lang w:eastAsia="en-US"/>
    </w:rPr>
  </w:style>
  <w:style w:type="character" w:styleId="Style13" w:customStyle="1">
    <w:name w:val="Название Знак"/>
    <w:basedOn w:val="DefaultParagraphFont"/>
    <w:link w:val="a8"/>
    <w:qFormat/>
    <w:rsid w:val="00c12d02"/>
    <w:rPr>
      <w:rFonts w:ascii="Times New Roman" w:hAnsi="Times New Roman" w:eastAsia="SimSun" w:cs="Times New Roman"/>
      <w:b/>
      <w:bCs/>
      <w:sz w:val="32"/>
      <w:szCs w:val="32"/>
      <w:lang w:eastAsia="zh-CN"/>
    </w:rPr>
  </w:style>
  <w:style w:type="character" w:styleId="Strong">
    <w:name w:val="Strong"/>
    <w:basedOn w:val="DefaultParagraphFont"/>
    <w:uiPriority w:val="22"/>
    <w:qFormat/>
    <w:rsid w:val="00c12d02"/>
    <w:rPr>
      <w:b/>
      <w:bCs/>
    </w:rPr>
  </w:style>
  <w:style w:type="character" w:styleId="Style14" w:customStyle="1">
    <w:name w:val="Основной текст Знак"/>
    <w:basedOn w:val="DefaultParagraphFont"/>
    <w:link w:val="ab"/>
    <w:uiPriority w:val="99"/>
    <w:qFormat/>
    <w:rsid w:val="00c12d02"/>
    <w:rPr>
      <w:rFonts w:ascii="Times New Roman" w:hAnsi="Times New Roman" w:eastAsia="Times New Roman" w:cs="Times New Roman"/>
      <w:sz w:val="28"/>
      <w:szCs w:val="20"/>
      <w:lang w:eastAsia="ru-RU"/>
    </w:rPr>
  </w:style>
  <w:style w:type="character" w:styleId="Style15" w:customStyle="1">
    <w:name w:val="Нижний колонтитул Знак"/>
    <w:basedOn w:val="DefaultParagraphFont"/>
    <w:link w:val="ad"/>
    <w:uiPriority w:val="99"/>
    <w:qFormat/>
    <w:rsid w:val="00c12d02"/>
    <w:rPr>
      <w:rFonts w:ascii="Times New Roman" w:hAnsi="Times New Roman" w:eastAsia="Times New Roman" w:cs="Times New Roman"/>
      <w:sz w:val="24"/>
      <w:szCs w:val="24"/>
      <w:lang w:eastAsia="ru-RU"/>
    </w:rPr>
  </w:style>
  <w:style w:type="character" w:styleId="Style16" w:customStyle="1">
    <w:name w:val="Текст выноски Знак"/>
    <w:basedOn w:val="DefaultParagraphFont"/>
    <w:link w:val="af"/>
    <w:uiPriority w:val="99"/>
    <w:qFormat/>
    <w:rsid w:val="00c12d02"/>
    <w:rPr>
      <w:rFonts w:ascii="Tahoma" w:hAnsi="Tahoma" w:eastAsia="Times New Roman" w:cs="Tahoma"/>
      <w:sz w:val="16"/>
      <w:szCs w:val="16"/>
      <w:lang w:eastAsia="ru-RU"/>
    </w:rPr>
  </w:style>
  <w:style w:type="character" w:styleId="12" w:customStyle="1">
    <w:name w:val="Основной текст1"/>
    <w:basedOn w:val="DefaultParagraphFont"/>
    <w:qFormat/>
    <w:rsid w:val="00c12d02"/>
    <w:rPr>
      <w:rFonts w:ascii="Arial" w:hAnsi="Arial" w:eastAsia="Arial" w:cs="Arial"/>
      <w:b w:val="false"/>
      <w:bCs w:val="false"/>
      <w:i w:val="false"/>
      <w:iCs w:val="false"/>
      <w:caps w:val="false"/>
      <w:smallCaps w:val="false"/>
      <w:strike w:val="false"/>
      <w:dstrike w:val="false"/>
      <w:color w:val="000000"/>
      <w:spacing w:val="-3"/>
      <w:w w:val="100"/>
      <w:sz w:val="15"/>
      <w:szCs w:val="15"/>
      <w:u w:val="none"/>
      <w:lang w:val="ru-RU"/>
    </w:rPr>
  </w:style>
  <w:style w:type="character" w:styleId="Style17" w:customStyle="1">
    <w:name w:val="Текст сноски Знак"/>
    <w:basedOn w:val="DefaultParagraphFont"/>
    <w:link w:val="15"/>
    <w:qFormat/>
    <w:rsid w:val="00c12d02"/>
    <w:rPr>
      <w:rFonts w:ascii="Calibri" w:hAnsi="Calibri" w:eastAsia="Calibri" w:cs="Times New Roman"/>
      <w:lang w:eastAsia="en-US"/>
    </w:rPr>
  </w:style>
  <w:style w:type="character" w:styleId="Style18">
    <w:name w:val="Привязка сноски"/>
    <w:rPr>
      <w:vertAlign w:val="superscript"/>
    </w:rPr>
  </w:style>
  <w:style w:type="character" w:styleId="FootnoteCharacters">
    <w:name w:val="Footnote Characters"/>
    <w:basedOn w:val="DefaultParagraphFont"/>
    <w:uiPriority w:val="99"/>
    <w:semiHidden/>
    <w:unhideWhenUsed/>
    <w:qFormat/>
    <w:rsid w:val="00c12d02"/>
    <w:rPr>
      <w:vertAlign w:val="superscript"/>
    </w:rPr>
  </w:style>
  <w:style w:type="character" w:styleId="17pt" w:customStyle="1">
    <w:name w:val="Основной текст + 17 pt"/>
    <w:uiPriority w:val="99"/>
    <w:qFormat/>
    <w:rsid w:val="00c12d02"/>
    <w:rPr>
      <w:rFonts w:ascii="Times New Roman" w:hAnsi="Times New Roman" w:cs="Times New Roman"/>
      <w:sz w:val="34"/>
      <w:szCs w:val="34"/>
      <w:u w:val="none"/>
    </w:rPr>
  </w:style>
  <w:style w:type="character" w:styleId="Style19" w:customStyle="1">
    <w:name w:val="Текст Знак"/>
    <w:basedOn w:val="DefaultParagraphFont"/>
    <w:link w:val="16"/>
    <w:uiPriority w:val="99"/>
    <w:semiHidden/>
    <w:qFormat/>
    <w:rsid w:val="00c12d02"/>
    <w:rPr>
      <w:rFonts w:ascii="Calibri" w:hAnsi="Calibri" w:eastAsia="Calibri" w:cs="Times New Roman"/>
      <w:sz w:val="22"/>
      <w:szCs w:val="21"/>
      <w:lang w:eastAsia="en-US"/>
    </w:rPr>
  </w:style>
  <w:style w:type="character" w:styleId="Style20" w:customStyle="1">
    <w:name w:val="Текст концевой сноски Знак"/>
    <w:basedOn w:val="DefaultParagraphFont"/>
    <w:link w:val="17"/>
    <w:uiPriority w:val="99"/>
    <w:semiHidden/>
    <w:qFormat/>
    <w:rsid w:val="00c12d02"/>
    <w:rPr>
      <w:rFonts w:ascii="Calibri" w:hAnsi="Calibri" w:eastAsia="Calibri" w:cs="Times New Roman"/>
      <w:lang w:eastAsia="en-US"/>
    </w:rPr>
  </w:style>
  <w:style w:type="character" w:styleId="Style21">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c12d02"/>
    <w:rPr>
      <w:vertAlign w:val="superscript"/>
    </w:rPr>
  </w:style>
  <w:style w:type="character" w:styleId="111" w:customStyle="1">
    <w:name w:val="Заголовок 1 Знак1"/>
    <w:basedOn w:val="DefaultParagraphFont"/>
    <w:uiPriority w:val="9"/>
    <w:qFormat/>
    <w:rsid w:val="00c12d02"/>
    <w:rPr>
      <w:rFonts w:ascii="Calibri Light" w:hAnsi="Calibri Light" w:eastAsia="" w:cs="" w:asciiTheme="majorHAnsi" w:cstheme="majorBidi" w:eastAsiaTheme="majorEastAsia" w:hAnsiTheme="majorHAnsi"/>
      <w:color w:val="2E74B5" w:themeColor="accent1" w:themeShade="bf"/>
      <w:sz w:val="32"/>
      <w:szCs w:val="32"/>
    </w:rPr>
  </w:style>
  <w:style w:type="character" w:styleId="311" w:customStyle="1">
    <w:name w:val="Заголовок 3 Знак1"/>
    <w:basedOn w:val="DefaultParagraphFont"/>
    <w:uiPriority w:val="9"/>
    <w:semiHidden/>
    <w:qFormat/>
    <w:rsid w:val="00c12d02"/>
    <w:rPr>
      <w:rFonts w:ascii="Calibri Light" w:hAnsi="Calibri Light" w:eastAsia="" w:cs="" w:asciiTheme="majorHAnsi" w:cstheme="majorBidi" w:eastAsiaTheme="majorEastAsia" w:hAnsiTheme="majorHAnsi"/>
      <w:color w:val="1F4D78" w:themeColor="accent1" w:themeShade="7f"/>
      <w:sz w:val="24"/>
      <w:szCs w:val="24"/>
    </w:rPr>
  </w:style>
  <w:style w:type="character" w:styleId="13" w:customStyle="1">
    <w:name w:val="Текст сноски Знак1"/>
    <w:basedOn w:val="DefaultParagraphFont"/>
    <w:link w:val="af4"/>
    <w:uiPriority w:val="99"/>
    <w:semiHidden/>
    <w:qFormat/>
    <w:rsid w:val="00c12d02"/>
    <w:rPr>
      <w:rFonts w:ascii="Times New Roman" w:hAnsi="Times New Roman"/>
      <w:sz w:val="20"/>
      <w:szCs w:val="20"/>
    </w:rPr>
  </w:style>
  <w:style w:type="character" w:styleId="14" w:customStyle="1">
    <w:name w:val="Текст Знак1"/>
    <w:basedOn w:val="DefaultParagraphFont"/>
    <w:link w:val="af7"/>
    <w:uiPriority w:val="99"/>
    <w:semiHidden/>
    <w:qFormat/>
    <w:rsid w:val="00c12d02"/>
    <w:rPr>
      <w:rFonts w:ascii="Consolas" w:hAnsi="Consolas" w:cs="Consolas"/>
      <w:sz w:val="21"/>
      <w:szCs w:val="21"/>
    </w:rPr>
  </w:style>
  <w:style w:type="character" w:styleId="15" w:customStyle="1">
    <w:name w:val="Текст концевой сноски Знак1"/>
    <w:basedOn w:val="DefaultParagraphFont"/>
    <w:link w:val="af9"/>
    <w:uiPriority w:val="99"/>
    <w:semiHidden/>
    <w:qFormat/>
    <w:rsid w:val="00c12d02"/>
    <w:rPr>
      <w:rFonts w:ascii="Times New Roman" w:hAnsi="Times New Roman"/>
      <w:sz w:val="20"/>
      <w:szCs w:val="20"/>
    </w:rPr>
  </w:style>
  <w:style w:type="character" w:styleId="Style22">
    <w:name w:val="Интернет-ссылка"/>
    <w:basedOn w:val="DefaultParagraphFont"/>
    <w:uiPriority w:val="99"/>
    <w:unhideWhenUsed/>
    <w:rsid w:val="00485404"/>
    <w:rPr>
      <w:color w:val="0563C1" w:themeColor="hyperlink"/>
      <w:u w:val="single"/>
    </w:rPr>
  </w:style>
  <w:style w:type="character" w:styleId="Style23" w:customStyle="1">
    <w:name w:val="Без интервала Знак"/>
    <w:basedOn w:val="DefaultParagraphFont"/>
    <w:link w:val="af2"/>
    <w:uiPriority w:val="1"/>
    <w:qFormat/>
    <w:rsid w:val="00ab35a2"/>
    <w:rPr>
      <w:rFonts w:ascii="Calibri" w:hAnsi="Calibri" w:eastAsia="Calibri" w:cs="Times New Roman"/>
    </w:rPr>
  </w:style>
  <w:style w:type="character" w:styleId="Style24" w:customStyle="1">
    <w:name w:val="Основной текст с отступом Знак"/>
    <w:basedOn w:val="DefaultParagraphFont"/>
    <w:link w:val="afd"/>
    <w:uiPriority w:val="99"/>
    <w:semiHidden/>
    <w:qFormat/>
    <w:rsid w:val="001f0f02"/>
    <w:rPr>
      <w:rFonts w:ascii="Times New Roman" w:hAnsi="Times New Roman"/>
      <w:sz w:val="28"/>
    </w:rPr>
  </w:style>
  <w:style w:type="paragraph" w:styleId="Style25">
    <w:name w:val="Заголовок"/>
    <w:basedOn w:val="Normal"/>
    <w:next w:val="Style26"/>
    <w:qFormat/>
    <w:pPr>
      <w:keepNext w:val="true"/>
      <w:spacing w:before="240" w:after="120"/>
    </w:pPr>
    <w:rPr>
      <w:rFonts w:ascii="Liberation Sans" w:hAnsi="Liberation Sans" w:eastAsia="Droid Sans Fallback" w:cs="Droid Sans Devanagari"/>
      <w:sz w:val="28"/>
      <w:szCs w:val="28"/>
    </w:rPr>
  </w:style>
  <w:style w:type="paragraph" w:styleId="Style26">
    <w:name w:val="Body Text"/>
    <w:basedOn w:val="Normal"/>
    <w:link w:val="ac"/>
    <w:uiPriority w:val="99"/>
    <w:rsid w:val="00c12d02"/>
    <w:pPr>
      <w:spacing w:lineRule="auto" w:line="240" w:before="0" w:after="0"/>
    </w:pPr>
    <w:rPr>
      <w:rFonts w:eastAsia="Times New Roman" w:cs="Times New Roman"/>
      <w:szCs w:val="20"/>
      <w:lang w:eastAsia="ru-RU"/>
    </w:rPr>
  </w:style>
  <w:style w:type="paragraph" w:styleId="Style27">
    <w:name w:val="List"/>
    <w:basedOn w:val="Style26"/>
    <w:pPr/>
    <w:rPr>
      <w:rFonts w:cs="Droid Sans Devanagari"/>
    </w:rPr>
  </w:style>
  <w:style w:type="paragraph" w:styleId="Style28">
    <w:name w:val="Caption"/>
    <w:basedOn w:val="Normal"/>
    <w:qFormat/>
    <w:pPr>
      <w:suppressLineNumbers/>
      <w:spacing w:before="120" w:after="120"/>
    </w:pPr>
    <w:rPr>
      <w:rFonts w:cs="Droid Sans Devanagari"/>
      <w:i/>
      <w:iCs/>
      <w:sz w:val="24"/>
      <w:szCs w:val="24"/>
    </w:rPr>
  </w:style>
  <w:style w:type="paragraph" w:styleId="Style29">
    <w:name w:val="Указатель"/>
    <w:basedOn w:val="Normal"/>
    <w:qFormat/>
    <w:pPr>
      <w:suppressLineNumbers/>
    </w:pPr>
    <w:rPr>
      <w:rFonts w:cs="Droid Sans Devanagari"/>
    </w:rPr>
  </w:style>
  <w:style w:type="paragraph" w:styleId="Style30">
    <w:name w:val="Верхний и нижний колонтитулы"/>
    <w:basedOn w:val="Normal"/>
    <w:qFormat/>
    <w:pPr/>
    <w:rPr/>
  </w:style>
  <w:style w:type="paragraph" w:styleId="Style31">
    <w:name w:val="Header"/>
    <w:basedOn w:val="Normal"/>
    <w:link w:val="a4"/>
    <w:uiPriority w:val="99"/>
    <w:unhideWhenUsed/>
    <w:rsid w:val="00c12d02"/>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c12d02"/>
    <w:pPr>
      <w:spacing w:before="0" w:after="200"/>
      <w:ind w:left="720" w:hanging="0"/>
      <w:contextualSpacing/>
    </w:pPr>
    <w:rPr/>
  </w:style>
  <w:style w:type="paragraph" w:styleId="32" w:customStyle="1">
    <w:name w:val="Основной текст3"/>
    <w:basedOn w:val="Normal"/>
    <w:link w:val="a6"/>
    <w:qFormat/>
    <w:rsid w:val="00c12d02"/>
    <w:pPr>
      <w:widowControl w:val="false"/>
      <w:shd w:val="clear" w:color="auto" w:fill="FFFFFF"/>
      <w:spacing w:lineRule="exact" w:line="322" w:before="0" w:after="0"/>
      <w:jc w:val="center"/>
    </w:pPr>
    <w:rPr>
      <w:rFonts w:ascii="Calibri" w:hAnsi="Calibri" w:asciiTheme="minorHAnsi" w:hAnsiTheme="minorHAnsi"/>
      <w:spacing w:val="1"/>
      <w:sz w:val="22"/>
    </w:rPr>
  </w:style>
  <w:style w:type="paragraph" w:styleId="112" w:customStyle="1">
    <w:name w:val="Заголовок 11"/>
    <w:basedOn w:val="Normal"/>
    <w:next w:val="Normal"/>
    <w:uiPriority w:val="9"/>
    <w:qFormat/>
    <w:rsid w:val="00c12d02"/>
    <w:pPr>
      <w:keepNext w:val="true"/>
      <w:keepLines/>
      <w:spacing w:lineRule="auto" w:line="259" w:before="240" w:after="0"/>
      <w:jc w:val="left"/>
      <w:outlineLvl w:val="0"/>
    </w:pPr>
    <w:rPr>
      <w:rFonts w:ascii="Cambria" w:hAnsi="Cambria" w:eastAsia="Times New Roman" w:cs="Times New Roman"/>
      <w:color w:val="365F91"/>
      <w:sz w:val="32"/>
      <w:szCs w:val="32"/>
    </w:rPr>
  </w:style>
  <w:style w:type="paragraph" w:styleId="312" w:customStyle="1">
    <w:name w:val="Заголовок 31"/>
    <w:basedOn w:val="Normal"/>
    <w:next w:val="Normal"/>
    <w:uiPriority w:val="9"/>
    <w:semiHidden/>
    <w:unhideWhenUsed/>
    <w:qFormat/>
    <w:rsid w:val="00c12d02"/>
    <w:pPr>
      <w:keepNext w:val="true"/>
      <w:keepLines/>
      <w:spacing w:lineRule="auto" w:line="259" w:before="40" w:after="0"/>
      <w:jc w:val="left"/>
      <w:outlineLvl w:val="2"/>
    </w:pPr>
    <w:rPr>
      <w:rFonts w:ascii="Cambria" w:hAnsi="Cambria" w:eastAsia="Times New Roman" w:cs="Times New Roman"/>
      <w:color w:val="243F60"/>
      <w:sz w:val="24"/>
      <w:szCs w:val="24"/>
    </w:rPr>
  </w:style>
  <w:style w:type="paragraph" w:styleId="CharChar" w:customStyle="1">
    <w:name w:val="Char Знак Знак Char Знак Знак Знак Знак Знак Знак Знак Знак Знак Знак Знак Знак Знак Знак Знак Знак"/>
    <w:basedOn w:val="Normal"/>
    <w:qFormat/>
    <w:rsid w:val="00c12d02"/>
    <w:pPr>
      <w:spacing w:lineRule="auto" w:line="240" w:before="0" w:after="0"/>
      <w:jc w:val="left"/>
    </w:pPr>
    <w:rPr>
      <w:rFonts w:ascii="Verdana" w:hAnsi="Verdana" w:eastAsia="Times New Roman" w:cs="Verdana"/>
      <w:sz w:val="20"/>
      <w:szCs w:val="20"/>
      <w:lang w:val="en-US"/>
    </w:rPr>
  </w:style>
  <w:style w:type="paragraph" w:styleId="Style32">
    <w:name w:val="Title"/>
    <w:basedOn w:val="Normal"/>
    <w:link w:val="a9"/>
    <w:qFormat/>
    <w:rsid w:val="00c12d02"/>
    <w:pPr>
      <w:spacing w:lineRule="auto" w:line="240" w:before="0" w:after="0"/>
      <w:jc w:val="center"/>
    </w:pPr>
    <w:rPr>
      <w:rFonts w:eastAsia="SimSun" w:cs="Times New Roman"/>
      <w:b/>
      <w:bCs/>
      <w:sz w:val="32"/>
      <w:szCs w:val="32"/>
      <w:lang w:eastAsia="zh-CN"/>
    </w:rPr>
  </w:style>
  <w:style w:type="paragraph" w:styleId="Style33">
    <w:name w:val="Footer"/>
    <w:basedOn w:val="Normal"/>
    <w:link w:val="ae"/>
    <w:uiPriority w:val="99"/>
    <w:rsid w:val="00c12d02"/>
    <w:pPr>
      <w:tabs>
        <w:tab w:val="clear" w:pos="708"/>
        <w:tab w:val="center" w:pos="4677" w:leader="none"/>
        <w:tab w:val="right" w:pos="9355" w:leader="none"/>
      </w:tabs>
      <w:spacing w:lineRule="auto" w:line="240" w:before="0" w:after="0"/>
      <w:jc w:val="left"/>
    </w:pPr>
    <w:rPr>
      <w:rFonts w:eastAsia="Times New Roman" w:cs="Times New Roman"/>
      <w:sz w:val="24"/>
      <w:szCs w:val="24"/>
      <w:lang w:eastAsia="ru-RU"/>
    </w:rPr>
  </w:style>
  <w:style w:type="paragraph" w:styleId="BalloonText">
    <w:name w:val="Balloon Text"/>
    <w:basedOn w:val="Normal"/>
    <w:link w:val="af0"/>
    <w:uiPriority w:val="99"/>
    <w:qFormat/>
    <w:rsid w:val="00c12d02"/>
    <w:pPr>
      <w:spacing w:lineRule="auto" w:line="240" w:before="0" w:after="0"/>
      <w:jc w:val="left"/>
    </w:pPr>
    <w:rPr>
      <w:rFonts w:ascii="Tahoma" w:hAnsi="Tahoma" w:eastAsia="Times New Roman" w:cs="Tahoma"/>
      <w:sz w:val="16"/>
      <w:szCs w:val="16"/>
      <w:lang w:eastAsia="ru-RU"/>
    </w:rPr>
  </w:style>
  <w:style w:type="paragraph" w:styleId="ConsPlusNonformat" w:customStyle="1">
    <w:name w:val="ConsPlusNonformat"/>
    <w:qFormat/>
    <w:rsid w:val="00c12d02"/>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16" w:customStyle="1">
    <w:name w:val="Обычный (веб)1"/>
    <w:basedOn w:val="Normal"/>
    <w:next w:val="NormalWeb"/>
    <w:uiPriority w:val="99"/>
    <w:unhideWhenUsed/>
    <w:qFormat/>
    <w:rsid w:val="00c12d02"/>
    <w:pPr>
      <w:spacing w:lineRule="auto" w:line="240" w:beforeAutospacing="1" w:afterAutospacing="1"/>
      <w:jc w:val="left"/>
    </w:pPr>
    <w:rPr>
      <w:rFonts w:cs="Times New Roman"/>
      <w:sz w:val="24"/>
      <w:szCs w:val="24"/>
      <w:lang w:eastAsia="ru-RU"/>
    </w:rPr>
  </w:style>
  <w:style w:type="paragraph" w:styleId="NoSpacing">
    <w:name w:val="No Spacing"/>
    <w:link w:val="af3"/>
    <w:uiPriority w:val="1"/>
    <w:qFormat/>
    <w:rsid w:val="00c12d02"/>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8"/>
      <w:szCs w:val="22"/>
      <w:lang w:val="ru-RU" w:eastAsia="en-US" w:bidi="ar-SA"/>
    </w:rPr>
  </w:style>
  <w:style w:type="paragraph" w:styleId="ConsPlusNormal" w:customStyle="1">
    <w:name w:val="ConsPlusNormal"/>
    <w:qFormat/>
    <w:rsid w:val="00c12d02"/>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17" w:customStyle="1">
    <w:name w:val="Текст сноски1"/>
    <w:basedOn w:val="Normal"/>
    <w:next w:val="Style34"/>
    <w:link w:val="af5"/>
    <w:unhideWhenUsed/>
    <w:qFormat/>
    <w:rsid w:val="00c12d02"/>
    <w:pPr>
      <w:spacing w:lineRule="auto" w:line="240" w:before="0" w:after="0"/>
      <w:jc w:val="left"/>
    </w:pPr>
    <w:rPr>
      <w:rFonts w:ascii="Calibri" w:hAnsi="Calibri" w:eastAsia="Calibri" w:cs="Times New Roman"/>
      <w:sz w:val="22"/>
    </w:rPr>
  </w:style>
  <w:style w:type="paragraph" w:styleId="Default" w:customStyle="1">
    <w:name w:val="Default"/>
    <w:qFormat/>
    <w:rsid w:val="00c12d02"/>
    <w:pPr>
      <w:widowControl/>
      <w:bidi w:val="0"/>
      <w:spacing w:lineRule="auto" w:line="240" w:before="0" w:after="0"/>
      <w:jc w:val="left"/>
    </w:pPr>
    <w:rPr>
      <w:rFonts w:ascii="Liberation Serif" w:hAnsi="Liberation Serif" w:eastAsia="Calibri" w:cs="Liberation Serif"/>
      <w:color w:val="000000"/>
      <w:kern w:val="0"/>
      <w:sz w:val="24"/>
      <w:szCs w:val="24"/>
      <w:lang w:eastAsia="ru-RU" w:val="ru-RU" w:bidi="ar-SA"/>
    </w:rPr>
  </w:style>
  <w:style w:type="paragraph" w:styleId="S16" w:customStyle="1">
    <w:name w:val="s_16"/>
    <w:basedOn w:val="Normal"/>
    <w:qFormat/>
    <w:rsid w:val="00c12d02"/>
    <w:pPr>
      <w:spacing w:lineRule="auto" w:line="240" w:beforeAutospacing="1" w:afterAutospacing="1"/>
      <w:jc w:val="left"/>
    </w:pPr>
    <w:rPr>
      <w:rFonts w:eastAsia="Times New Roman" w:cs="Times New Roman"/>
      <w:sz w:val="24"/>
      <w:szCs w:val="24"/>
      <w:lang w:eastAsia="ru-RU"/>
    </w:rPr>
  </w:style>
  <w:style w:type="paragraph" w:styleId="18" w:customStyle="1">
    <w:name w:val="Текст1"/>
    <w:basedOn w:val="Normal"/>
    <w:next w:val="PlainText"/>
    <w:link w:val="af8"/>
    <w:uiPriority w:val="99"/>
    <w:semiHidden/>
    <w:unhideWhenUsed/>
    <w:qFormat/>
    <w:rsid w:val="00c12d02"/>
    <w:pPr>
      <w:spacing w:lineRule="auto" w:line="240" w:before="0" w:after="0"/>
      <w:jc w:val="left"/>
    </w:pPr>
    <w:rPr>
      <w:rFonts w:ascii="Calibri" w:hAnsi="Calibri" w:eastAsia="Calibri" w:cs="Times New Roman"/>
      <w:sz w:val="22"/>
      <w:szCs w:val="21"/>
    </w:rPr>
  </w:style>
  <w:style w:type="paragraph" w:styleId="19" w:customStyle="1">
    <w:name w:val="Текст концевой сноски1"/>
    <w:basedOn w:val="Normal"/>
    <w:next w:val="Style35"/>
    <w:link w:val="afa"/>
    <w:uiPriority w:val="99"/>
    <w:semiHidden/>
    <w:unhideWhenUsed/>
    <w:qFormat/>
    <w:rsid w:val="00c12d02"/>
    <w:pPr>
      <w:spacing w:lineRule="auto" w:line="240" w:before="0" w:after="0"/>
      <w:jc w:val="left"/>
    </w:pPr>
    <w:rPr>
      <w:rFonts w:ascii="Calibri" w:hAnsi="Calibri" w:eastAsia="Calibri" w:cs="Times New Roman"/>
      <w:sz w:val="22"/>
    </w:rPr>
  </w:style>
  <w:style w:type="paragraph" w:styleId="NormalWeb">
    <w:name w:val="Normal (Web)"/>
    <w:basedOn w:val="Normal"/>
    <w:uiPriority w:val="99"/>
    <w:unhideWhenUsed/>
    <w:qFormat/>
    <w:rsid w:val="00c12d02"/>
    <w:pPr/>
    <w:rPr>
      <w:rFonts w:cs="Times New Roman"/>
      <w:sz w:val="24"/>
      <w:szCs w:val="24"/>
    </w:rPr>
  </w:style>
  <w:style w:type="paragraph" w:styleId="Style34">
    <w:name w:val="Footnote Text"/>
    <w:basedOn w:val="Normal"/>
    <w:link w:val="18"/>
    <w:unhideWhenUsed/>
    <w:rsid w:val="00c12d02"/>
    <w:pPr>
      <w:spacing w:lineRule="auto" w:line="240" w:before="0" w:after="0"/>
    </w:pPr>
    <w:rPr>
      <w:sz w:val="20"/>
      <w:szCs w:val="20"/>
    </w:rPr>
  </w:style>
  <w:style w:type="paragraph" w:styleId="PlainText">
    <w:name w:val="Plain Text"/>
    <w:basedOn w:val="Normal"/>
    <w:link w:val="19"/>
    <w:uiPriority w:val="99"/>
    <w:semiHidden/>
    <w:unhideWhenUsed/>
    <w:qFormat/>
    <w:rsid w:val="00c12d02"/>
    <w:pPr>
      <w:spacing w:lineRule="auto" w:line="240" w:before="0" w:after="0"/>
    </w:pPr>
    <w:rPr>
      <w:rFonts w:ascii="Consolas" w:hAnsi="Consolas" w:cs="Consolas"/>
      <w:sz w:val="21"/>
      <w:szCs w:val="21"/>
    </w:rPr>
  </w:style>
  <w:style w:type="paragraph" w:styleId="Style35">
    <w:name w:val="Endnote Text"/>
    <w:basedOn w:val="Normal"/>
    <w:link w:val="1a"/>
    <w:uiPriority w:val="99"/>
    <w:semiHidden/>
    <w:unhideWhenUsed/>
    <w:rsid w:val="00c12d02"/>
    <w:pPr>
      <w:spacing w:lineRule="auto" w:line="240" w:before="0" w:after="0"/>
    </w:pPr>
    <w:rPr>
      <w:sz w:val="20"/>
      <w:szCs w:val="20"/>
    </w:rPr>
  </w:style>
  <w:style w:type="paragraph" w:styleId="Style36">
    <w:name w:val="Body Text Indent"/>
    <w:basedOn w:val="Normal"/>
    <w:link w:val="afe"/>
    <w:uiPriority w:val="99"/>
    <w:semiHidden/>
    <w:unhideWhenUsed/>
    <w:rsid w:val="001f0f02"/>
    <w:pPr>
      <w:spacing w:before="0" w:after="120"/>
      <w:ind w:left="283" w:hanging="0"/>
    </w:pPr>
    <w:rPr/>
  </w:style>
  <w:style w:type="paragraph" w:styleId="Style37">
    <w:name w:val="Содержимое врезки"/>
    <w:basedOn w:val="Normal"/>
    <w:qFormat/>
    <w:pPr/>
    <w:rPr/>
  </w:style>
  <w:style w:type="numbering" w:styleId="NoList" w:default="1">
    <w:name w:val="No List"/>
    <w:uiPriority w:val="99"/>
    <w:semiHidden/>
    <w:unhideWhenUsed/>
    <w:qFormat/>
  </w:style>
  <w:style w:type="numbering" w:styleId="110" w:customStyle="1">
    <w:name w:val="Нет списка1"/>
    <w:uiPriority w:val="99"/>
    <w:semiHidden/>
    <w:unhideWhenUsed/>
    <w:qFormat/>
    <w:rsid w:val="00c12d02"/>
  </w:style>
  <w:style w:type="numbering" w:styleId="22" w:customStyle="1">
    <w:name w:val="Нет списка2"/>
    <w:uiPriority w:val="99"/>
    <w:semiHidden/>
    <w:unhideWhenUsed/>
    <w:qFormat/>
    <w:rsid w:val="00c12d02"/>
  </w:style>
  <w:style w:type="numbering" w:styleId="33" w:customStyle="1">
    <w:name w:val="Нет списка3"/>
    <w:uiPriority w:val="99"/>
    <w:semiHidden/>
    <w:unhideWhenUsed/>
    <w:qFormat/>
    <w:rsid w:val="00df5a59"/>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59"/>
    <w:rsid w:val="00c12d02"/>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consultantplus://offline/ref=EE9E00A074AFECF9DD3D6A48EC69D9F5F279E6011A6E69A8C90C0DB2FB47567172020D13ACFE74BB5FC7B0AE244F41CE2134740DE0DD7EE8C737AAF3R3gAM" TargetMode="External"/><Relationship Id="rId6" Type="http://schemas.openxmlformats.org/officeDocument/2006/relationships/hyperlink" Target="consultantplus://offline/ref=EE9E00A074AFECF9DD3D6A48EC69D9F5F279E6011A6E69A8C90C0DB2FB47567172020D13ACFE74BB5FC7B0AE244F41CE2134740DE0DD7EE8C737AAF3R3gAM" TargetMode="External"/><Relationship Id="rId7" Type="http://schemas.openxmlformats.org/officeDocument/2006/relationships/hyperlink" Target="consultantplus://offline/ref=EE9E00A074AFECF9DD3D6A48EC69D9F5F279E6011A6E69A8C90C0DB2FB47567172020D13ACFE74BB5FC7B0AE244F41CE2134740DE0DD7EE8C737AAF3R3gAM" TargetMode="External"/><Relationship Id="rId8" Type="http://schemas.openxmlformats.org/officeDocument/2006/relationships/hyperlink" Target="consultantplus://offline/ref=EE9E00A074AFECF9DD3D6A48EC69D9F5F279E6011A6E69A8C90C0DB2FB47567172020D13ACFE74BB5FC7B0AE244F41CE2134740DE0DD7EE8C737AAF3R3gAM" TargetMode="External"/><Relationship Id="rId9" Type="http://schemas.openxmlformats.org/officeDocument/2006/relationships/hyperlink" Target="consultantplus://offline/ref=D918E957CFB4503752B0AA1F6519B8504605580BAE1A2018EB77A3A025477D3C69E8CFF388FC4A2A978D2984C2DE9BB6F1A55E05FD7C99552319F094aDf3K" TargetMode="External"/><Relationship Id="rId10" Type="http://schemas.openxmlformats.org/officeDocument/2006/relationships/hyperlink" Target="consultantplus://offline/ref=B90503794A9519A251B33C32ED6780059790A411F482D936E514004FA4F22F6C084456E6ECEBBB7C4CD3E20B03F250A5DA888AB6D1BE49A51F7B30CBf61FO" TargetMode="Externa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EF283-4993-4671-9127-26C5D86A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5839</TotalTime>
  <Application>LibreOffice/6.3.0.4$Linux_X86_64 LibreOffice_project/057fc023c990d676a43019934386b85b21a9ee99</Application>
  <Pages>24</Pages>
  <Words>30383</Words>
  <Characters>234066</Characters>
  <CharactersWithSpaces>262244</CharactersWithSpaces>
  <Paragraphs>3354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2021-01-20T08:47:00Z</dcterms:created>
  <dc:creator>Александр А. Панченко</dc:creator>
  <dc:description/>
  <dc:language>ru-RU</dc:language>
  <cp:lastModifiedBy/>
  <cp:lastPrinted>2021-11-23T10:50:00Z</cp:lastPrinted>
  <dcterms:modified xsi:type="dcterms:W3CDTF">2021-11-29T13:53:06Z</dcterms:modified>
  <cp:revision>466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