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86" w:rsidRPr="00B42C86" w:rsidRDefault="00B42C86" w:rsidP="00B42C86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B42C86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Предприниматели вправе оплачивать вывоз мусора не по нормативу, а по факту</w:t>
      </w:r>
    </w:p>
    <w:p w:rsidR="00B42C86" w:rsidRPr="00B42C86" w:rsidRDefault="00B42C86" w:rsidP="00B42C86">
      <w:pPr>
        <w:pStyle w:val="a7"/>
        <w:jc w:val="both"/>
        <w:rPr>
          <w:b/>
          <w:lang w:eastAsia="ru-RU"/>
        </w:rPr>
      </w:pPr>
      <w:r w:rsidRPr="00B42C86">
        <w:rPr>
          <w:b/>
          <w:lang w:eastAsia="ru-RU"/>
        </w:rPr>
        <w:t xml:space="preserve">Региональный оператор по обращению с отходами не имеет права навязывать юридическим лицам невыгодные для них условия договора на вывоз ТКО. </w:t>
      </w:r>
    </w:p>
    <w:p w:rsidR="00B42C86" w:rsidRPr="00B42C86" w:rsidRDefault="00B42C86" w:rsidP="00B42C86">
      <w:pPr>
        <w:pStyle w:val="a7"/>
        <w:jc w:val="both"/>
        <w:rPr>
          <w:lang w:eastAsia="ru-RU"/>
        </w:rPr>
      </w:pP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 xml:space="preserve">В </w:t>
      </w:r>
      <w:r>
        <w:rPr>
          <w:lang w:eastAsia="ru-RU"/>
        </w:rPr>
        <w:t xml:space="preserve">управлении ЖКХ и ТЭК администрации муниципального образования Туапсинский район </w:t>
      </w:r>
      <w:r w:rsidRPr="00B42C86">
        <w:rPr>
          <w:lang w:eastAsia="ru-RU"/>
        </w:rPr>
        <w:t xml:space="preserve">(далее – </w:t>
      </w:r>
      <w:r>
        <w:rPr>
          <w:lang w:eastAsia="ru-RU"/>
        </w:rPr>
        <w:t>управление</w:t>
      </w:r>
      <w:r w:rsidRPr="00B42C86">
        <w:rPr>
          <w:lang w:eastAsia="ru-RU"/>
        </w:rPr>
        <w:t xml:space="preserve">) проработан вопрос в части возможности заключения договоров с региональным оператором по обращению с твердыми коммунальными отходами (далее – </w:t>
      </w:r>
      <w:proofErr w:type="spellStart"/>
      <w:proofErr w:type="gramStart"/>
      <w:r w:rsidRPr="00B42C86">
        <w:rPr>
          <w:lang w:eastAsia="ru-RU"/>
        </w:rPr>
        <w:t>pe</w:t>
      </w:r>
      <w:proofErr w:type="gramEnd"/>
      <w:r w:rsidRPr="00B42C86">
        <w:rPr>
          <w:lang w:eastAsia="ru-RU"/>
        </w:rPr>
        <w:t>гиональный</w:t>
      </w:r>
      <w:proofErr w:type="spellEnd"/>
      <w:r w:rsidRPr="00B42C86">
        <w:rPr>
          <w:lang w:eastAsia="ru-RU"/>
        </w:rPr>
        <w:t xml:space="preserve"> оператор), исходя из количества и объема контейнеров для накопления твердых коммунальных отходов (далее – ТКО).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По результатам сообщается следующее.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proofErr w:type="gramStart"/>
      <w:r w:rsidRPr="00B42C86">
        <w:rPr>
          <w:lang w:eastAsia="ru-RU"/>
        </w:rPr>
        <w:t>Согласно ст. 24.10 Федерального закона от 24.06.1998 № 89-ФЗ «Об отходах производства и потребления» (далее Закон № 89-ФЗ), определение объема и (или) массы ТКО в целях расчетов по договорам в области обращения с ТКО осуществляется в соответствии с Правилами коммерческого учета объема и (или) массы ТКО (утв. постановлением Правительства РФ от 03.06.2016 № 505) (далее – Правила № 505).</w:t>
      </w:r>
      <w:proofErr w:type="gramEnd"/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Пункт 5 Правил № 505 устанавливает, что коммерческий учет ТКО осуществляется:</w:t>
      </w:r>
    </w:p>
    <w:p w:rsidR="00B42C86" w:rsidRPr="00B42C86" w:rsidRDefault="00B42C86" w:rsidP="00B42C86">
      <w:pPr>
        <w:pStyle w:val="a7"/>
        <w:jc w:val="both"/>
        <w:rPr>
          <w:lang w:eastAsia="ru-RU"/>
        </w:rPr>
      </w:pPr>
      <w:r w:rsidRPr="00B42C86">
        <w:rPr>
          <w:lang w:eastAsia="ru-RU"/>
        </w:rPr>
        <w:t xml:space="preserve">а) расчетным путем исходя </w:t>
      </w:r>
      <w:proofErr w:type="gramStart"/>
      <w:r w:rsidRPr="00B42C86">
        <w:rPr>
          <w:lang w:eastAsia="ru-RU"/>
        </w:rPr>
        <w:t>из</w:t>
      </w:r>
      <w:proofErr w:type="gramEnd"/>
      <w:r w:rsidRPr="00B42C86">
        <w:rPr>
          <w:lang w:eastAsia="ru-RU"/>
        </w:rPr>
        <w:t>:</w:t>
      </w:r>
    </w:p>
    <w:p w:rsidR="00B42C86" w:rsidRPr="00B42C86" w:rsidRDefault="00B42C86" w:rsidP="00B42C86">
      <w:pPr>
        <w:pStyle w:val="a7"/>
        <w:jc w:val="both"/>
        <w:rPr>
          <w:lang w:eastAsia="ru-RU"/>
        </w:rPr>
      </w:pPr>
      <w:r w:rsidRPr="00B42C86">
        <w:rPr>
          <w:lang w:eastAsia="ru-RU"/>
        </w:rPr>
        <w:t>- нормативов накопления ТКО, выраженных в количественных показателях объема;</w:t>
      </w:r>
    </w:p>
    <w:p w:rsidR="00B42C86" w:rsidRPr="00B42C86" w:rsidRDefault="00B42C86" w:rsidP="00B42C86">
      <w:pPr>
        <w:pStyle w:val="a7"/>
        <w:jc w:val="both"/>
        <w:rPr>
          <w:lang w:eastAsia="ru-RU"/>
        </w:rPr>
      </w:pPr>
      <w:r w:rsidRPr="00B42C86">
        <w:rPr>
          <w:lang w:eastAsia="ru-RU"/>
        </w:rPr>
        <w:t>- количества и объема контейнеров для накопления ТКО, установленных в местах накопления ГКО;</w:t>
      </w:r>
    </w:p>
    <w:p w:rsidR="00B42C86" w:rsidRPr="00B42C86" w:rsidRDefault="00B42C86" w:rsidP="00B42C86">
      <w:pPr>
        <w:pStyle w:val="a7"/>
        <w:jc w:val="both"/>
        <w:rPr>
          <w:lang w:eastAsia="ru-RU"/>
        </w:rPr>
      </w:pPr>
      <w:r w:rsidRPr="00B42C86">
        <w:rPr>
          <w:lang w:eastAsia="ru-RU"/>
        </w:rPr>
        <w:t>б) исходя из массы ТКО, определенной с использованием средств измерения.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При осуществлении расчетов с собственниками ТКО коммерческий учет осуществляется в соответствии с подп. «а» п. 5 Правил (п. 6 Правил № 505), т.е. только двумя способами:</w:t>
      </w:r>
    </w:p>
    <w:p w:rsidR="00B42C86" w:rsidRPr="00B42C86" w:rsidRDefault="00B42C86" w:rsidP="00B42C86">
      <w:pPr>
        <w:pStyle w:val="a7"/>
        <w:jc w:val="both"/>
        <w:rPr>
          <w:lang w:eastAsia="ru-RU"/>
        </w:rPr>
      </w:pPr>
      <w:r w:rsidRPr="00B42C86">
        <w:rPr>
          <w:lang w:eastAsia="ru-RU"/>
        </w:rPr>
        <w:t>по нормативам накопления или исходя из количества и объема контейнеров (далее по фактическому объему).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Каких-либо ограничений по применению того или иного способа расчета Правила № 505 не содержат.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proofErr w:type="gramStart"/>
      <w:r w:rsidRPr="00B42C86">
        <w:rPr>
          <w:lang w:eastAsia="ru-RU"/>
        </w:rPr>
        <w:t>Пункт 8 Правил № 505, устанавливающий, что «при раздельном накоплении ТКО в целях осуществления расчетов по договорам в области обращения с ТКО коммерческий учет ТКО осуществляется в соответствии с абзацем 3 подп. «а» п. 5 Правил № 505», лишь регулирует вопрос осуществления расчетов при способе раздельного накопления и не содержит ограничений для других видов сбора накопления ТКО.</w:t>
      </w:r>
      <w:proofErr w:type="gramEnd"/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 xml:space="preserve">В отношении собственников нежилых помещений в многоквартирных домах также существуют специальные нормы, регулирующие данный </w:t>
      </w:r>
      <w:r w:rsidRPr="00B42C86">
        <w:rPr>
          <w:lang w:eastAsia="ru-RU"/>
        </w:rPr>
        <w:lastRenderedPageBreak/>
        <w:t>вопрос, установленные Правилами предоставления коммунальных услуг (утв. постановлением Правительства РФ от 06.05.2011 № 354) (далее – Правила № 354).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Пунктом 148(38) Правил № 354 определено следующее: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«Размер платы за коммунальную услугу по обращению с ТКО, предоставленную потребителю в нежилом помещении в многоквартирном доме, определяется в соответствии с формулой 9(5) приложения № 2 к Правилам № 354 (примечание: т.е. исходя из нормативов накопления ТКО).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proofErr w:type="gramStart"/>
      <w:r w:rsidRPr="00B42C86">
        <w:rPr>
          <w:lang w:eastAsia="ru-RU"/>
        </w:rPr>
        <w:t>При раздельном накоплении сортированных отходов, а также в случае, если это указано в заключенном с региональным оператором договоре на оказание услуг по обращению с ТКО, размер платы за коммунальную услугу по обращению с ТКО, предоставленную потребителю в нежилом помещении в многоквартирном доме, определяется в соответствии с формулой 9(5) приложения № 2 к Правилам № 354 (примечание: т.е. исходя из фактического</w:t>
      </w:r>
      <w:proofErr w:type="gramEnd"/>
      <w:r w:rsidRPr="00B42C86">
        <w:rPr>
          <w:lang w:eastAsia="ru-RU"/>
        </w:rPr>
        <w:t xml:space="preserve"> объема)».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Из буквального прочтения данного пункта можно сделать вывод, что в данном случае Правила № 354 также предусматривают два альтернативных варианта определения объема:</w:t>
      </w:r>
    </w:p>
    <w:p w:rsidR="00B42C86" w:rsidRPr="00B42C86" w:rsidRDefault="00B42C86" w:rsidP="00B42C86">
      <w:pPr>
        <w:pStyle w:val="a7"/>
        <w:jc w:val="both"/>
        <w:rPr>
          <w:lang w:eastAsia="ru-RU"/>
        </w:rPr>
      </w:pPr>
      <w:r w:rsidRPr="00B42C86">
        <w:rPr>
          <w:lang w:eastAsia="ru-RU"/>
        </w:rPr>
        <w:t>-исходя из нормативов накопления ТКО;</w:t>
      </w:r>
    </w:p>
    <w:p w:rsidR="00B42C86" w:rsidRPr="00B42C86" w:rsidRDefault="00B42C86" w:rsidP="00B42C86">
      <w:pPr>
        <w:pStyle w:val="a7"/>
        <w:jc w:val="both"/>
        <w:rPr>
          <w:lang w:eastAsia="ru-RU"/>
        </w:rPr>
      </w:pPr>
      <w:r w:rsidRPr="00B42C86">
        <w:rPr>
          <w:lang w:eastAsia="ru-RU"/>
        </w:rPr>
        <w:t>-исходя из фактического объема.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 xml:space="preserve">Учет ТКО, исходя из </w:t>
      </w:r>
      <w:proofErr w:type="gramStart"/>
      <w:r w:rsidRPr="00B42C86">
        <w:rPr>
          <w:lang w:eastAsia="ru-RU"/>
        </w:rPr>
        <w:t>фактическою</w:t>
      </w:r>
      <w:proofErr w:type="gramEnd"/>
      <w:r w:rsidRPr="00B42C86">
        <w:rPr>
          <w:lang w:eastAsia="ru-RU"/>
        </w:rPr>
        <w:t xml:space="preserve"> объема, может осуществляться, в свою очередь, в двух случаях:</w:t>
      </w:r>
    </w:p>
    <w:p w:rsidR="00B42C86" w:rsidRPr="00B42C86" w:rsidRDefault="00B42C86" w:rsidP="00B42C86">
      <w:pPr>
        <w:pStyle w:val="a7"/>
        <w:jc w:val="both"/>
        <w:rPr>
          <w:lang w:eastAsia="ru-RU"/>
        </w:rPr>
      </w:pPr>
      <w:r w:rsidRPr="00B42C86">
        <w:rPr>
          <w:lang w:eastAsia="ru-RU"/>
        </w:rPr>
        <w:t>-при раздельном накоплении сортированных отходов;</w:t>
      </w:r>
    </w:p>
    <w:p w:rsidR="00B42C86" w:rsidRPr="00B42C86" w:rsidRDefault="00B42C86" w:rsidP="00B42C86">
      <w:pPr>
        <w:pStyle w:val="a7"/>
        <w:jc w:val="both"/>
        <w:rPr>
          <w:lang w:eastAsia="ru-RU"/>
        </w:rPr>
      </w:pPr>
      <w:r w:rsidRPr="00B42C86">
        <w:rPr>
          <w:lang w:eastAsia="ru-RU"/>
        </w:rPr>
        <w:t>-в случае</w:t>
      </w:r>
      <w:proofErr w:type="gramStart"/>
      <w:r w:rsidRPr="00B42C86">
        <w:rPr>
          <w:lang w:eastAsia="ru-RU"/>
        </w:rPr>
        <w:t>,</w:t>
      </w:r>
      <w:proofErr w:type="gramEnd"/>
      <w:r w:rsidRPr="00B42C86">
        <w:rPr>
          <w:lang w:eastAsia="ru-RU"/>
        </w:rPr>
        <w:t xml:space="preserve"> если это указано в заключенном с региональным оператором договоре.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Причем второй вариант не имеет каких-либо дополнительных условий и ограничений к его применению (в том числе не обусловлен требованием об обязательном раздельном сборе отходов).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 xml:space="preserve">Учитывая, что договор – это согласованная воля двух сторон, в данном случае для применения этого варианта требуется его </w:t>
      </w:r>
      <w:proofErr w:type="gramStart"/>
      <w:r w:rsidRPr="00B42C86">
        <w:rPr>
          <w:lang w:eastAsia="ru-RU"/>
        </w:rPr>
        <w:t>согласование</w:t>
      </w:r>
      <w:proofErr w:type="gramEnd"/>
      <w:r w:rsidRPr="00B42C86">
        <w:rPr>
          <w:lang w:eastAsia="ru-RU"/>
        </w:rPr>
        <w:t xml:space="preserve"> как собственником помещения, так и региональным оператором.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 xml:space="preserve">По всем признакам, региональный оператор относится к категории хозяйствующих субъектов, занимающих доминирующее положение на рынке услуг по обращению с ТКО, в </w:t>
      </w:r>
      <w:proofErr w:type="gramStart"/>
      <w:r w:rsidRPr="00B42C86">
        <w:rPr>
          <w:lang w:eastAsia="ru-RU"/>
        </w:rPr>
        <w:t>связи</w:t>
      </w:r>
      <w:proofErr w:type="gramEnd"/>
      <w:r w:rsidRPr="00B42C86">
        <w:rPr>
          <w:lang w:eastAsia="ru-RU"/>
        </w:rPr>
        <w:t xml:space="preserve"> с чем на него распространяются ограничения, предусмотренные Федеральным законом от 26.07.2006 № 135-ФЗ «О защите конкуренции», в том числе запрет на навязывание контрагентам условий договора, невыгодных для него (статьи 5, 10).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Тем самым, в отсутствие объективных причин, препятствующих включению в договор условий о фактическом определении объемов ТКО, такой отказ со стороны регионального оператора будет свидетельствовать о злоупотреблении им доминирующим положением и нарушении антимонопольного законодательства.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proofErr w:type="gramStart"/>
      <w:r w:rsidRPr="00B42C86">
        <w:rPr>
          <w:lang w:eastAsia="ru-RU"/>
        </w:rPr>
        <w:t xml:space="preserve">Также следует обратить внимание, что типовая форма договора на оказание услуг по обращению с ТКО (утв. Постановлением Правительства РФ от 12.11.2016 № 1156), которой должен руководствоваться региональный </w:t>
      </w:r>
      <w:r w:rsidRPr="00B42C86">
        <w:rPr>
          <w:lang w:eastAsia="ru-RU"/>
        </w:rPr>
        <w:lastRenderedPageBreak/>
        <w:t xml:space="preserve">оператор, в том числе в силу условий заключенного Соглашения об организации деятельности по обращению с ТКО на территории </w:t>
      </w:r>
      <w:proofErr w:type="spellStart"/>
      <w:r>
        <w:rPr>
          <w:lang w:eastAsia="ru-RU"/>
        </w:rPr>
        <w:t>Белореченской</w:t>
      </w:r>
      <w:proofErr w:type="spellEnd"/>
      <w:r>
        <w:rPr>
          <w:lang w:eastAsia="ru-RU"/>
        </w:rPr>
        <w:t xml:space="preserve"> зоны Краснодарского края</w:t>
      </w:r>
      <w:r w:rsidRPr="00B42C86">
        <w:rPr>
          <w:lang w:eastAsia="ru-RU"/>
        </w:rPr>
        <w:t xml:space="preserve"> от </w:t>
      </w:r>
      <w:r>
        <w:rPr>
          <w:lang w:eastAsia="ru-RU"/>
        </w:rPr>
        <w:t>14</w:t>
      </w:r>
      <w:r w:rsidRPr="00B42C86">
        <w:rPr>
          <w:lang w:eastAsia="ru-RU"/>
        </w:rPr>
        <w:t>.</w:t>
      </w:r>
      <w:r>
        <w:rPr>
          <w:lang w:eastAsia="ru-RU"/>
        </w:rPr>
        <w:t>01</w:t>
      </w:r>
      <w:r w:rsidRPr="00B42C86">
        <w:rPr>
          <w:lang w:eastAsia="ru-RU"/>
        </w:rPr>
        <w:t>.201</w:t>
      </w:r>
      <w:r>
        <w:rPr>
          <w:lang w:eastAsia="ru-RU"/>
        </w:rPr>
        <w:t>9</w:t>
      </w:r>
      <w:bookmarkStart w:id="0" w:name="_GoBack"/>
      <w:bookmarkEnd w:id="0"/>
      <w:r w:rsidRPr="00B42C86">
        <w:rPr>
          <w:lang w:eastAsia="ru-RU"/>
        </w:rPr>
        <w:t>, не содержит каких-либо ограничений в применении того или иного способа</w:t>
      </w:r>
      <w:proofErr w:type="gramEnd"/>
      <w:r w:rsidRPr="00B42C86">
        <w:rPr>
          <w:lang w:eastAsia="ru-RU"/>
        </w:rPr>
        <w:t xml:space="preserve"> учета ТКО и предусматривает все варианты. 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Следовательно, отказ регионального оператора от включения условий в договор с собственниками нежилых помещений о возможности осуществлять учет, исходя из фактического объема, будет свидетельствовать о злоупотреблении им доминирующим положением и нарушении антимонопольного законодательства.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>Таким образом, в случае получения хозяйствующим субъектом отказа регионального оператора в заключени</w:t>
      </w:r>
      <w:proofErr w:type="gramStart"/>
      <w:r w:rsidRPr="00B42C86">
        <w:rPr>
          <w:lang w:eastAsia="ru-RU"/>
        </w:rPr>
        <w:t>и</w:t>
      </w:r>
      <w:proofErr w:type="gramEnd"/>
      <w:r w:rsidRPr="00B42C86">
        <w:rPr>
          <w:lang w:eastAsia="ru-RU"/>
        </w:rPr>
        <w:t xml:space="preserve"> договора, исходя из количества и объема контейнеров для накопления ТКО, установленных</w:t>
      </w:r>
      <w:r w:rsidRPr="00B42C86">
        <w:rPr>
          <w:lang w:eastAsia="ru-RU"/>
        </w:rPr>
        <w:br/>
        <w:t>в местах их накопления, данные лица вправе обратиться в соответствующим заявлением в органы антимонопольной службы.</w:t>
      </w:r>
    </w:p>
    <w:p w:rsidR="00B42C86" w:rsidRPr="00B42C86" w:rsidRDefault="00B42C86" w:rsidP="00B42C86">
      <w:pPr>
        <w:pStyle w:val="a7"/>
        <w:ind w:firstLine="708"/>
        <w:jc w:val="both"/>
        <w:rPr>
          <w:lang w:eastAsia="ru-RU"/>
        </w:rPr>
      </w:pPr>
      <w:r w:rsidRPr="00B42C86">
        <w:rPr>
          <w:lang w:eastAsia="ru-RU"/>
        </w:rPr>
        <w:t xml:space="preserve">Порядок обращения определен </w:t>
      </w:r>
      <w:proofErr w:type="spellStart"/>
      <w:r w:rsidRPr="00B42C86">
        <w:rPr>
          <w:lang w:eastAsia="ru-RU"/>
        </w:rPr>
        <w:t>ч.ч</w:t>
      </w:r>
      <w:proofErr w:type="spellEnd"/>
      <w:r w:rsidRPr="00B42C86">
        <w:rPr>
          <w:lang w:eastAsia="ru-RU"/>
        </w:rPr>
        <w:t>. 1, 2 ст. 44 Федерального закона от 26.07.2006 № 135-ФЗ «О защите конкуренции».</w:t>
      </w:r>
    </w:p>
    <w:p w:rsidR="00C00878" w:rsidRDefault="00B42C86"/>
    <w:sectPr w:rsidR="00C0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63"/>
    <w:rsid w:val="00783893"/>
    <w:rsid w:val="008C3063"/>
    <w:rsid w:val="009C43FF"/>
    <w:rsid w:val="00A24FA3"/>
    <w:rsid w:val="00B4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3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B42C86"/>
    <w:pPr>
      <w:spacing w:before="300" w:after="150" w:line="240" w:lineRule="auto"/>
      <w:outlineLvl w:val="1"/>
    </w:pPr>
    <w:rPr>
      <w:rFonts w:ascii="Helvetica" w:eastAsia="Times New Roman" w:hAnsi="Helvetica" w:cs="Helvetica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C86"/>
    <w:rPr>
      <w:rFonts w:ascii="Helvetica" w:eastAsia="Times New Roman" w:hAnsi="Helvetica" w:cs="Helvetica"/>
      <w:sz w:val="45"/>
      <w:szCs w:val="45"/>
      <w:lang w:eastAsia="ru-RU"/>
    </w:rPr>
  </w:style>
  <w:style w:type="character" w:styleId="a3">
    <w:name w:val="Strong"/>
    <w:basedOn w:val="a0"/>
    <w:uiPriority w:val="22"/>
    <w:qFormat/>
    <w:rsid w:val="00B42C86"/>
    <w:rPr>
      <w:b/>
      <w:bCs/>
    </w:rPr>
  </w:style>
  <w:style w:type="paragraph" w:styleId="a4">
    <w:name w:val="Normal (Web)"/>
    <w:basedOn w:val="a"/>
    <w:uiPriority w:val="99"/>
    <w:semiHidden/>
    <w:unhideWhenUsed/>
    <w:rsid w:val="00B42C86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rint-footnote1">
    <w:name w:val="print-footnote1"/>
    <w:basedOn w:val="a0"/>
    <w:rsid w:val="00B42C86"/>
    <w:rPr>
      <w:sz w:val="15"/>
      <w:szCs w:val="15"/>
    </w:rPr>
  </w:style>
  <w:style w:type="paragraph" w:styleId="a5">
    <w:name w:val="Balloon Text"/>
    <w:basedOn w:val="a"/>
    <w:link w:val="a6"/>
    <w:uiPriority w:val="99"/>
    <w:semiHidden/>
    <w:unhideWhenUsed/>
    <w:rsid w:val="00B42C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C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2C86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3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B42C86"/>
    <w:pPr>
      <w:spacing w:before="300" w:after="150" w:line="240" w:lineRule="auto"/>
      <w:outlineLvl w:val="1"/>
    </w:pPr>
    <w:rPr>
      <w:rFonts w:ascii="Helvetica" w:eastAsia="Times New Roman" w:hAnsi="Helvetica" w:cs="Helvetica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C86"/>
    <w:rPr>
      <w:rFonts w:ascii="Helvetica" w:eastAsia="Times New Roman" w:hAnsi="Helvetica" w:cs="Helvetica"/>
      <w:sz w:val="45"/>
      <w:szCs w:val="45"/>
      <w:lang w:eastAsia="ru-RU"/>
    </w:rPr>
  </w:style>
  <w:style w:type="character" w:styleId="a3">
    <w:name w:val="Strong"/>
    <w:basedOn w:val="a0"/>
    <w:uiPriority w:val="22"/>
    <w:qFormat/>
    <w:rsid w:val="00B42C86"/>
    <w:rPr>
      <w:b/>
      <w:bCs/>
    </w:rPr>
  </w:style>
  <w:style w:type="paragraph" w:styleId="a4">
    <w:name w:val="Normal (Web)"/>
    <w:basedOn w:val="a"/>
    <w:uiPriority w:val="99"/>
    <w:semiHidden/>
    <w:unhideWhenUsed/>
    <w:rsid w:val="00B42C86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rint-footnote1">
    <w:name w:val="print-footnote1"/>
    <w:basedOn w:val="a0"/>
    <w:rsid w:val="00B42C86"/>
    <w:rPr>
      <w:sz w:val="15"/>
      <w:szCs w:val="15"/>
    </w:rPr>
  </w:style>
  <w:style w:type="paragraph" w:styleId="a5">
    <w:name w:val="Balloon Text"/>
    <w:basedOn w:val="a"/>
    <w:link w:val="a6"/>
    <w:uiPriority w:val="99"/>
    <w:semiHidden/>
    <w:unhideWhenUsed/>
    <w:rsid w:val="00B42C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C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2C8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7994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2020-02-27T08:27:00Z</dcterms:created>
  <dcterms:modified xsi:type="dcterms:W3CDTF">2020-02-27T08:27:00Z</dcterms:modified>
</cp:coreProperties>
</file>