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управления экономического развития администрации Туапсинского муниципального округа</w:t>
      </w:r>
    </w:p>
    <w:p w14:paraId="02000000">
      <w:pPr>
        <w:ind w:firstLine="0" w:left="4961"/>
      </w:pPr>
    </w:p>
    <w:p w14:paraId="03000000">
      <w:pPr>
        <w:ind w:firstLine="0" w:left="4961"/>
      </w:pPr>
      <w:r>
        <w:t>Стамбольжи М.А.</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p>
    <w:p w14:paraId="08000000">
      <w:pPr>
        <w:ind/>
        <w:jc w:val="center"/>
        <w:rPr>
          <w:b w:val="1"/>
        </w:rPr>
      </w:pPr>
    </w:p>
    <w:p w14:paraId="09000000">
      <w:pPr>
        <w:ind/>
        <w:jc w:val="center"/>
        <w:rPr>
          <w:b w:val="1"/>
        </w:rPr>
      </w:pPr>
      <w:r>
        <w:rPr>
          <w:b w:val="1"/>
        </w:rPr>
        <w:t>Заключение</w:t>
      </w:r>
    </w:p>
    <w:p w14:paraId="0A000000">
      <w:pPr>
        <w:ind/>
        <w:jc w:val="center"/>
        <w:rPr>
          <w:b w:val="0"/>
        </w:rPr>
      </w:pPr>
      <w:r>
        <w:t xml:space="preserve">по результатам экспертизы проекта постановления администрации Туапсинского муниципального округа </w:t>
      </w:r>
      <w:r>
        <w:t>«</w:t>
      </w:r>
      <w:r>
        <w:rPr>
          <w:b w:val="0"/>
          <w:sz w:val="28"/>
        </w:rPr>
        <w:t xml:space="preserve">О порядке проведения проверки инвестиционных проектов на предмет эффективности использования </w:t>
      </w:r>
    </w:p>
    <w:p w14:paraId="0B000000">
      <w:pPr>
        <w:ind/>
        <w:jc w:val="center"/>
        <w:rPr>
          <w:b w:val="0"/>
        </w:rPr>
      </w:pPr>
      <w:r>
        <w:rPr>
          <w:b w:val="0"/>
          <w:sz w:val="28"/>
        </w:rPr>
        <w:t>средств бюджета Туапсинск</w:t>
      </w:r>
      <w:r>
        <w:rPr>
          <w:b w:val="0"/>
          <w:color w:val="000000"/>
          <w:sz w:val="28"/>
        </w:rPr>
        <w:t>ого</w:t>
      </w:r>
      <w:r>
        <w:rPr>
          <w:b w:val="0"/>
          <w:sz w:val="28"/>
        </w:rPr>
        <w:t xml:space="preserve"> муниципального </w:t>
      </w:r>
      <w:r>
        <w:rPr>
          <w:b w:val="0"/>
          <w:sz w:val="28"/>
        </w:rPr>
        <w:t xml:space="preserve">округа, направляемых </w:t>
      </w:r>
    </w:p>
    <w:p w14:paraId="0C000000">
      <w:pPr>
        <w:ind/>
        <w:jc w:val="center"/>
        <w:rPr>
          <w:b w:val="0"/>
        </w:rPr>
      </w:pPr>
      <w:r>
        <w:rPr>
          <w:b w:val="0"/>
          <w:sz w:val="28"/>
        </w:rPr>
        <w:t>на капитальные вложения»</w:t>
      </w:r>
    </w:p>
    <w:p w14:paraId="0D000000">
      <w:pPr>
        <w:ind w:firstLine="709" w:left="0" w:right="0"/>
        <w:jc w:val="both"/>
        <w:rPr>
          <w:b w:val="1"/>
          <w:sz w:val="28"/>
        </w:rPr>
      </w:pPr>
    </w:p>
    <w:p w14:paraId="0E000000">
      <w:pPr>
        <w:ind/>
        <w:jc w:val="center"/>
        <w:rPr>
          <w:b w:val="1"/>
        </w:rPr>
      </w:pPr>
    </w:p>
    <w:p w14:paraId="0F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 xml:space="preserve">О порядке проведения проверки инвестиционных проектов на предмет эффективности использования </w:t>
      </w:r>
      <w:r>
        <w:rPr>
          <w:b w:val="0"/>
          <w:sz w:val="28"/>
        </w:rPr>
        <w:t>средств бюджета Туапсинск</w:t>
      </w:r>
      <w:r>
        <w:rPr>
          <w:b w:val="0"/>
          <w:color w:val="000000"/>
          <w:sz w:val="28"/>
        </w:rPr>
        <w:t>ого</w:t>
      </w:r>
      <w:r>
        <w:rPr>
          <w:b w:val="0"/>
          <w:sz w:val="28"/>
        </w:rPr>
        <w:t xml:space="preserve"> муниципального </w:t>
      </w:r>
      <w:r>
        <w:rPr>
          <w:b w:val="0"/>
          <w:sz w:val="28"/>
        </w:rPr>
        <w:t xml:space="preserve">округа, направляемых </w:t>
      </w:r>
      <w:r>
        <w:rPr>
          <w:b w:val="0"/>
          <w:sz w:val="28"/>
        </w:rPr>
        <w:t>на капитальные вложения</w:t>
      </w:r>
      <w:r>
        <w:t>»</w:t>
      </w:r>
      <w:bookmarkStart w:id="1" w:name="_GoBack"/>
      <w:bookmarkEnd w:id="1"/>
      <w:r>
        <w:rPr>
          <w:b w:val="1"/>
        </w:rPr>
        <w:t xml:space="preserve">, </w:t>
      </w:r>
      <w:r>
        <w:t>поступивший из  управления экономического развития администрации Туапсинского муниципального округа установил:</w:t>
      </w:r>
    </w:p>
    <w:p w14:paraId="10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11000000">
      <w:pPr>
        <w:ind w:firstLine="567" w:left="0"/>
        <w:jc w:val="both"/>
      </w:pPr>
      <w:r>
        <w:rPr>
          <w:sz w:val="28"/>
        </w:rPr>
        <w:t>статьей 14 Федерального закона от 25 февраля 1999 г. № 39-ФЗ «Об инвестиционной деятельности в Российской Федерации, осуществляемой в форме капитальных вложений», постановлением главы администрации (губернатора) Краснодарского края от 3 июня 2010 г. №</w:t>
      </w:r>
      <w:r>
        <w:rPr>
          <w:sz w:val="28"/>
        </w:rPr>
        <w:t> </w:t>
      </w:r>
      <w:r>
        <w:rPr>
          <w:sz w:val="28"/>
        </w:rPr>
        <w:t>426 «О порядке проведения проверки инвестиционных проектов на предмет эффективности использования средств краевого бюджета, направляемых на капитальные вложения»</w:t>
      </w:r>
      <w:r>
        <w:t>.</w:t>
      </w:r>
    </w:p>
    <w:p w14:paraId="12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13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4000000">
      <w:pPr>
        <w:ind w:firstLine="567" w:left="0"/>
        <w:jc w:val="both"/>
      </w:pPr>
      <w:r>
        <w:t>4. Проект нормативного правового акта может быть рекомендован для официального принятия.</w:t>
      </w:r>
    </w:p>
    <w:p w14:paraId="15000000"/>
    <w:p w14:paraId="16000000"/>
    <w:p w14:paraId="17000000">
      <w:r>
        <w:t>Исполняющий</w:t>
      </w:r>
      <w:r>
        <w:t xml:space="preserve"> обязанности начальника</w:t>
      </w:r>
    </w:p>
    <w:p w14:paraId="18000000">
      <w:r>
        <w:t>правового управления администрации</w:t>
      </w:r>
    </w:p>
    <w:p w14:paraId="19000000">
      <w:r>
        <w:t>Туапсинского муниципального округа                                               М.А.</w:t>
      </w:r>
      <w:r>
        <w:t xml:space="preserve"> </w:t>
      </w:r>
      <w:r>
        <w:t>Синенко</w:t>
      </w:r>
    </w:p>
    <w:p w14:paraId="1A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Default Paragraph Font"/>
    <w:link w:val="Style_5_ch"/>
  </w:style>
  <w:style w:styleId="Style_5_ch" w:type="character">
    <w:name w:val="Default Paragraph Font"/>
    <w:link w:val="Style_5"/>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2"/>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toc 3"/>
    <w:next w:val="Style_2"/>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Balloon Text"/>
    <w:basedOn w:val="Style_2"/>
    <w:link w:val="Style_11_ch"/>
    <w:rPr>
      <w:rFonts w:ascii="Tahoma" w:hAnsi="Tahoma"/>
      <w:sz w:val="16"/>
    </w:rPr>
  </w:style>
  <w:style w:styleId="Style_11_ch" w:type="character">
    <w:name w:val="Balloon Text"/>
    <w:basedOn w:val="Style_2_ch"/>
    <w:link w:val="Style_11"/>
    <w:rPr>
      <w:rFonts w:ascii="Tahoma" w:hAnsi="Tahoma"/>
      <w:sz w:val="16"/>
    </w:rPr>
  </w:style>
  <w:style w:styleId="Style_12" w:type="paragraph">
    <w:name w:val="heading 5"/>
    <w:next w:val="Style_2"/>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ConsPlusNormal"/>
    <w:link w:val="Style_13_ch"/>
    <w:pPr>
      <w:widowControl w:val="0"/>
      <w:spacing w:after="0" w:line="240" w:lineRule="auto"/>
      <w:ind/>
    </w:pPr>
    <w:rPr>
      <w:rFonts w:ascii="Calibri" w:hAnsi="Calibri"/>
    </w:rPr>
  </w:style>
  <w:style w:styleId="Style_13_ch" w:type="character">
    <w:name w:val="ConsPlusNormal"/>
    <w:link w:val="Style_13"/>
    <w:rPr>
      <w:rFonts w:ascii="Calibri" w:hAnsi="Calibri"/>
    </w:rPr>
  </w:style>
  <w:style w:styleId="Style_14" w:type="paragraph">
    <w:name w:val="heading 1"/>
    <w:next w:val="Style_2"/>
    <w:link w:val="Style_14_ch"/>
    <w:uiPriority w:val="9"/>
    <w:qFormat/>
    <w:pPr>
      <w:spacing w:after="120" w:before="120"/>
      <w:ind/>
      <w:jc w:val="both"/>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1" w:type="paragraph">
    <w:name w:val="Hyperlink"/>
    <w:basedOn w:val="Style_5"/>
    <w:link w:val="Style_1_ch"/>
    <w:rPr>
      <w:color w:val="0000FF"/>
      <w:u w:val="single"/>
    </w:rPr>
  </w:style>
  <w:style w:styleId="Style_1_ch" w:type="character">
    <w:name w:val="Hyperlink"/>
    <w:basedOn w:val="Style_5_ch"/>
    <w:link w:val="Style_1"/>
    <w:rPr>
      <w:color w:val="0000FF"/>
      <w:u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2"/>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Header and Footer"/>
    <w:link w:val="Style_17_ch"/>
    <w:pPr>
      <w:spacing w:line="240" w:lineRule="auto"/>
      <w:ind/>
      <w:jc w:val="both"/>
    </w:pPr>
    <w:rPr>
      <w:rFonts w:ascii="XO Thames" w:hAnsi="XO Thames"/>
      <w:sz w:val="28"/>
    </w:rPr>
  </w:style>
  <w:style w:styleId="Style_17_ch" w:type="character">
    <w:name w:val="Header and Footer"/>
    <w:link w:val="Style_17"/>
    <w:rPr>
      <w:rFonts w:ascii="XO Thames" w:hAnsi="XO Thames"/>
      <w:sz w:val="28"/>
    </w:rPr>
  </w:style>
  <w:style w:styleId="Style_18" w:type="paragraph">
    <w:name w:val="toc 9"/>
    <w:next w:val="Style_2"/>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Normal (Web)"/>
    <w:basedOn w:val="Style_2"/>
    <w:link w:val="Style_19_ch"/>
    <w:rPr>
      <w:sz w:val="24"/>
    </w:rPr>
  </w:style>
  <w:style w:styleId="Style_19_ch" w:type="character">
    <w:name w:val="Normal (Web)"/>
    <w:basedOn w:val="Style_2_ch"/>
    <w:link w:val="Style_19"/>
    <w:rPr>
      <w:sz w:val="24"/>
    </w:rPr>
  </w:style>
  <w:style w:styleId="Style_20" w:type="paragraph">
    <w:name w:val="toc 8"/>
    <w:next w:val="Style_2"/>
    <w:link w:val="Style_20_ch"/>
    <w:uiPriority w:val="39"/>
    <w:pPr>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2"/>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Subtitle"/>
    <w:next w:val="Style_2"/>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Strong"/>
    <w:link w:val="Style_23_ch"/>
    <w:rPr>
      <w:rFonts w:ascii="Times New Roman" w:hAnsi="Times New Roman"/>
      <w:b w:val="1"/>
    </w:rPr>
  </w:style>
  <w:style w:styleId="Style_23_ch" w:type="character">
    <w:name w:val="Strong"/>
    <w:link w:val="Style_23"/>
    <w:rPr>
      <w:rFonts w:ascii="Times New Roman" w:hAnsi="Times New Roman"/>
      <w:b w:val="1"/>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default="1" w:styleId="Style_27" w:type="table">
    <w:name w:val="Normal Table"/>
    <w:tblPr>
      <w:tblInd w:type="dxa" w:w="0"/>
      <w:tblCellMar>
        <w:top w:type="dxa" w:w="0"/>
        <w:left w:type="dxa" w:w="108"/>
        <w:bottom w:type="dxa" w:w="0"/>
        <w:right w:type="dxa" w:w="108"/>
      </w:tblCellMar>
    </w:tblPr>
  </w:style>
  <w:style w:styleId="Style_28" w:type="table">
    <w:name w:val="Table Grid"/>
    <w:basedOn w:val="Style_27"/>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2025-03-13T06:12:14Z</dcterms:modified>
</cp:coreProperties>
</file>