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ind w:firstLine="0" w:left="4961"/>
      </w:pPr>
      <w:r>
        <w:t>Начальнику  отдела по профилактике правонарушений и взаимодействию с общественными формированиями администрации Туапсинского муниципального округа</w:t>
      </w:r>
    </w:p>
    <w:p w14:paraId="02000000">
      <w:pPr>
        <w:ind w:firstLine="0" w:left="4961"/>
      </w:pPr>
    </w:p>
    <w:p w14:paraId="03000000">
      <w:pPr>
        <w:ind w:firstLine="0" w:left="4961"/>
      </w:pPr>
      <w:r>
        <w:t>Здору К.И.</w:t>
      </w:r>
    </w:p>
    <w:p w14:paraId="04000000">
      <w:pPr>
        <w:ind/>
        <w:jc w:val="both"/>
        <w:rPr>
          <w:b w:val="1"/>
        </w:rPr>
      </w:pPr>
    </w:p>
    <w:p w14:paraId="05000000">
      <w:pPr>
        <w:ind/>
        <w:jc w:val="center"/>
        <w:rPr>
          <w:b w:val="1"/>
        </w:rPr>
      </w:pPr>
    </w:p>
    <w:p w14:paraId="06000000">
      <w:pPr>
        <w:ind/>
        <w:jc w:val="center"/>
        <w:rPr>
          <w:b w:val="1"/>
        </w:rPr>
      </w:pPr>
    </w:p>
    <w:p w14:paraId="07000000">
      <w:pPr>
        <w:ind/>
        <w:jc w:val="center"/>
        <w:rPr>
          <w:b w:val="1"/>
        </w:rPr>
      </w:pPr>
    </w:p>
    <w:p w14:paraId="08000000">
      <w:pPr>
        <w:ind/>
        <w:jc w:val="center"/>
        <w:rPr>
          <w:b w:val="1"/>
        </w:rPr>
      </w:pPr>
    </w:p>
    <w:p w14:paraId="09000000">
      <w:pPr>
        <w:ind/>
        <w:jc w:val="center"/>
        <w:rPr>
          <w:b w:val="1"/>
        </w:rPr>
      </w:pPr>
      <w:r>
        <w:rPr>
          <w:b w:val="1"/>
        </w:rPr>
        <w:t>Заключение</w:t>
      </w:r>
    </w:p>
    <w:p w14:paraId="0A000000">
      <w:pPr>
        <w:ind/>
        <w:jc w:val="center"/>
        <w:rPr>
          <w:b w:val="0"/>
        </w:rPr>
      </w:pPr>
      <w:r>
        <w:t xml:space="preserve">по результатам экспертизы проекта постановления администрации Туапсинского муниципального округа </w:t>
      </w:r>
      <w:r>
        <w:t>«</w:t>
      </w:r>
      <w:r>
        <w:rPr>
          <w:b w:val="0"/>
          <w:sz w:val="28"/>
        </w:rPr>
        <w:t xml:space="preserve">Об утверждении Положения о материальном </w:t>
      </w:r>
      <w:r>
        <w:rPr>
          <w:b w:val="0"/>
          <w:sz w:val="28"/>
        </w:rPr>
        <w:t xml:space="preserve">стимулировании народных дружинников, </w:t>
      </w:r>
    </w:p>
    <w:p w14:paraId="0B000000">
      <w:pPr>
        <w:ind/>
        <w:jc w:val="center"/>
        <w:rPr>
          <w:b w:val="0"/>
          <w:sz w:val="28"/>
        </w:rPr>
      </w:pPr>
      <w:r>
        <w:rPr>
          <w:b w:val="0"/>
          <w:sz w:val="28"/>
        </w:rPr>
        <w:t xml:space="preserve">участвующих в охране общественного </w:t>
      </w:r>
      <w:r>
        <w:rPr>
          <w:b w:val="0"/>
          <w:sz w:val="28"/>
        </w:rPr>
        <w:t>порядка на территории</w:t>
      </w:r>
      <w:r>
        <w:rPr>
          <w:b w:val="0"/>
          <w:sz w:val="28"/>
        </w:rPr>
        <w:t xml:space="preserve"> </w:t>
      </w:r>
    </w:p>
    <w:p w14:paraId="0C000000">
      <w:pPr>
        <w:ind/>
        <w:jc w:val="center"/>
        <w:rPr>
          <w:b w:val="0"/>
          <w:sz w:val="28"/>
        </w:rPr>
      </w:pPr>
      <w:r>
        <w:rPr>
          <w:b w:val="0"/>
          <w:sz w:val="28"/>
        </w:rPr>
        <w:t>Т</w:t>
      </w:r>
      <w:r>
        <w:rPr>
          <w:b w:val="0"/>
          <w:sz w:val="28"/>
        </w:rPr>
        <w:t xml:space="preserve">уапсинского </w:t>
      </w:r>
      <w:r>
        <w:rPr>
          <w:b w:val="0"/>
          <w:sz w:val="28"/>
        </w:rPr>
        <w:t>муниципального округа»</w:t>
      </w:r>
    </w:p>
    <w:p w14:paraId="0D000000">
      <w:pPr>
        <w:rPr>
          <w:b w:val="1"/>
          <w:sz w:val="28"/>
        </w:rPr>
      </w:pPr>
    </w:p>
    <w:p w14:paraId="0E000000">
      <w:pPr>
        <w:ind/>
        <w:jc w:val="center"/>
      </w:pPr>
      <w:r>
        <w:rPr>
          <w:sz w:val="28"/>
        </w:rPr>
        <w:t xml:space="preserve">  </w:t>
      </w:r>
      <w:r>
        <w:rPr>
          <w:sz w:val="28"/>
        </w:rPr>
        <w:t xml:space="preserve"> </w:t>
      </w:r>
    </w:p>
    <w:p w14:paraId="0F000000">
      <w:pPr>
        <w:ind w:firstLine="567" w:left="0"/>
        <w:jc w:val="both"/>
        <w:rPr>
          <w:color w:val="000000"/>
        </w:rPr>
      </w:pPr>
      <w:r>
        <w:t xml:space="preserve">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муниципального образования Туапсинский муниципальный округ </w:t>
      </w:r>
      <w:r>
        <w:t>«</w:t>
      </w:r>
      <w:r>
        <w:rPr>
          <w:b w:val="0"/>
          <w:sz w:val="28"/>
        </w:rPr>
        <w:t xml:space="preserve">Об утверждении Положения о материальном </w:t>
      </w:r>
      <w:r>
        <w:rPr>
          <w:b w:val="0"/>
          <w:sz w:val="28"/>
        </w:rPr>
        <w:t xml:space="preserve">стимулировании народных дружинников, </w:t>
      </w:r>
      <w:r>
        <w:rPr>
          <w:b w:val="0"/>
          <w:sz w:val="28"/>
        </w:rPr>
        <w:t xml:space="preserve">участвующих в охране общественного </w:t>
      </w:r>
      <w:r>
        <w:rPr>
          <w:b w:val="0"/>
          <w:sz w:val="28"/>
        </w:rPr>
        <w:t>порядка на территории</w:t>
      </w:r>
      <w:r>
        <w:rPr>
          <w:b w:val="0"/>
          <w:sz w:val="28"/>
        </w:rPr>
        <w:t xml:space="preserve"> </w:t>
      </w:r>
      <w:r>
        <w:rPr>
          <w:b w:val="0"/>
          <w:sz w:val="28"/>
        </w:rPr>
        <w:t>Т</w:t>
      </w:r>
      <w:r>
        <w:rPr>
          <w:b w:val="0"/>
          <w:sz w:val="28"/>
        </w:rPr>
        <w:t xml:space="preserve">уапсинского </w:t>
      </w:r>
      <w:r>
        <w:rPr>
          <w:b w:val="0"/>
          <w:sz w:val="28"/>
        </w:rPr>
        <w:t>муниципального округа</w:t>
      </w:r>
      <w:r>
        <w:t>»</w:t>
      </w:r>
      <w:bookmarkStart w:id="1" w:name="_GoBack"/>
      <w:bookmarkEnd w:id="1"/>
      <w:r>
        <w:rPr>
          <w:b w:val="1"/>
        </w:rPr>
        <w:t xml:space="preserve">, </w:t>
      </w:r>
      <w:r>
        <w:t>поступивший из финансового управления администрации Туапсинского муниципального округа установил:</w:t>
      </w:r>
    </w:p>
    <w:p w14:paraId="10000000">
      <w:pPr>
        <w:ind w:firstLine="567" w:left="0"/>
        <w:jc w:val="both"/>
      </w:pPr>
      <w: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14:paraId="11000000">
      <w:pPr>
        <w:ind w:firstLine="567" w:left="0"/>
        <w:jc w:val="both"/>
      </w:pPr>
      <w:r>
        <w:rPr>
          <w:sz w:val="28"/>
        </w:rPr>
        <w:t xml:space="preserve">Федеральным законом от 6 октября 2003 г. № 131-ФЗ «Об общих принципах местного самоуправления в Российской Федерации», </w:t>
      </w:r>
      <w:r>
        <w:rPr>
          <w:sz w:val="28"/>
        </w:rPr>
        <w:t>Федеральным</w:t>
      </w:r>
      <w:r>
        <w:rPr>
          <w:sz w:val="28"/>
        </w:rPr>
        <w:t xml:space="preserve">  </w:t>
      </w:r>
      <w:r>
        <w:rPr>
          <w:sz w:val="28"/>
        </w:rPr>
        <w:t xml:space="preserve"> законом</w:t>
      </w:r>
      <w:r>
        <w:rPr>
          <w:sz w:val="28"/>
        </w:rPr>
        <w:t xml:space="preserve"> </w:t>
      </w:r>
      <w:r>
        <w:rPr>
          <w:sz w:val="28"/>
        </w:rPr>
        <w:t xml:space="preserve"> Российской Федера</w:t>
      </w:r>
      <w:r>
        <w:rPr>
          <w:sz w:val="28"/>
        </w:rPr>
        <w:t>ции</w:t>
      </w:r>
      <w:r>
        <w:rPr>
          <w:sz w:val="28"/>
        </w:rPr>
        <w:t xml:space="preserve"> </w:t>
      </w:r>
      <w:r>
        <w:rPr>
          <w:sz w:val="28"/>
        </w:rPr>
        <w:t>от 2 апреля 2014 г.</w:t>
      </w:r>
      <w:r>
        <w:rPr>
          <w:sz w:val="28"/>
        </w:rPr>
        <w:t xml:space="preserve"> № 44–</w:t>
      </w:r>
      <w:r>
        <w:rPr>
          <w:sz w:val="28"/>
        </w:rPr>
        <w:t>ФЗ «Об участии граждан в охране общественного порядка»,</w:t>
      </w:r>
      <w:r>
        <w:rPr>
          <w:sz w:val="28"/>
        </w:rPr>
        <w:t xml:space="preserve"> Законом Краснодарского края </w:t>
      </w:r>
      <w:r>
        <w:rPr>
          <w:sz w:val="28"/>
        </w:rPr>
        <w:t xml:space="preserve">       </w:t>
      </w:r>
      <w:r>
        <w:rPr>
          <w:sz w:val="28"/>
        </w:rPr>
        <w:t>от 28 июня 2007 г.</w:t>
      </w:r>
      <w:r>
        <w:rPr>
          <w:sz w:val="28"/>
        </w:rPr>
        <w:t xml:space="preserve"> </w:t>
      </w:r>
      <w:r>
        <w:rPr>
          <w:sz w:val="28"/>
        </w:rPr>
        <w:t>№</w:t>
      </w:r>
      <w:r>
        <w:rPr>
          <w:sz w:val="28"/>
        </w:rPr>
        <w:t xml:space="preserve"> </w:t>
      </w:r>
      <w:r>
        <w:rPr>
          <w:sz w:val="28"/>
        </w:rPr>
        <w:t>1267–</w:t>
      </w:r>
      <w:r>
        <w:rPr>
          <w:sz w:val="28"/>
        </w:rPr>
        <w:t xml:space="preserve">КЗ «Об участии граждан в </w:t>
      </w:r>
      <w:r>
        <w:rPr>
          <w:sz w:val="28"/>
        </w:rPr>
        <w:t>охр</w:t>
      </w:r>
      <w:r>
        <w:rPr>
          <w:sz w:val="28"/>
        </w:rPr>
        <w:t>ане общественного по</w:t>
      </w:r>
      <w:r>
        <w:rPr>
          <w:sz w:val="28"/>
        </w:rPr>
        <w:t>рядка в Краснодарском крае</w:t>
      </w:r>
      <w:r>
        <w:rPr>
          <w:sz w:val="28"/>
        </w:rPr>
        <w:t>»</w:t>
      </w:r>
      <w:r>
        <w:rPr>
          <w:sz w:val="28"/>
        </w:rPr>
        <w:t xml:space="preserve">, постановлением главы </w:t>
      </w:r>
      <w:r>
        <w:rPr>
          <w:sz w:val="28"/>
        </w:rPr>
        <w:t xml:space="preserve">  </w:t>
      </w:r>
      <w:r>
        <w:rPr>
          <w:sz w:val="28"/>
        </w:rPr>
        <w:t xml:space="preserve">администрации </w:t>
      </w:r>
      <w:r>
        <w:rPr>
          <w:sz w:val="28"/>
        </w:rPr>
        <w:t xml:space="preserve">  </w:t>
      </w:r>
      <w:r>
        <w:rPr>
          <w:sz w:val="28"/>
        </w:rPr>
        <w:t>(губернатора) Краснодарс</w:t>
      </w:r>
      <w:r>
        <w:rPr>
          <w:sz w:val="28"/>
        </w:rPr>
        <w:t>кого края от 21 ноября 2016 г.</w:t>
      </w:r>
      <w:r>
        <w:rPr>
          <w:sz w:val="28"/>
        </w:rPr>
        <w:t xml:space="preserve"> № 914</w:t>
      </w:r>
      <w:r>
        <w:rPr>
          <w:sz w:val="28"/>
        </w:rPr>
        <w:t xml:space="preserve"> </w:t>
      </w:r>
      <w:r>
        <w:rPr>
          <w:sz w:val="28"/>
        </w:rPr>
        <w:t>«Об отдельных вопросах участия граждан в охране общественного порядка на территории Краснодарского края»</w:t>
      </w:r>
      <w:r>
        <w:t>.</w:t>
      </w:r>
    </w:p>
    <w:p w14:paraId="12000000">
      <w:pPr>
        <w:ind w:firstLine="567" w:left="0"/>
        <w:jc w:val="both"/>
      </w:pPr>
      <w:r>
        <w:t xml:space="preserve">2. Проект нормативного правового акта размещен на сайте администрации </w:t>
      </w:r>
      <w:r>
        <w:t>Туапсинского муниципального округа</w:t>
      </w:r>
      <w:r>
        <w:rPr>
          <w:color w:val="000000"/>
        </w:rPr>
        <w:t xml:space="preserve"> </w:t>
      </w:r>
      <w:r>
        <w:rPr>
          <w:rStyle w:val="Style_1_ch"/>
        </w:rPr>
        <w:fldChar w:fldCharType="begin"/>
      </w:r>
      <w:r>
        <w:rPr>
          <w:rStyle w:val="Style_1_ch"/>
        </w:rPr>
        <w:instrText>HYPERLINK "http://www.tuapseregion.ru/"</w:instrText>
      </w:r>
      <w:r>
        <w:rPr>
          <w:rStyle w:val="Style_1_ch"/>
        </w:rPr>
        <w:fldChar w:fldCharType="separate"/>
      </w:r>
      <w:r>
        <w:rPr>
          <w:rStyle w:val="Style_1_ch"/>
        </w:rPr>
        <w:t>www</w:t>
      </w:r>
      <w:r>
        <w:rPr>
          <w:rStyle w:val="Style_1_ch"/>
        </w:rPr>
        <w:t>.</w:t>
      </w:r>
      <w:r>
        <w:rPr>
          <w:rStyle w:val="Style_1_ch"/>
        </w:rPr>
        <w:t>tuapseregion</w:t>
      </w:r>
      <w:r>
        <w:rPr>
          <w:rStyle w:val="Style_1_ch"/>
        </w:rPr>
        <w:t>.</w:t>
      </w:r>
      <w:r>
        <w:rPr>
          <w:rStyle w:val="Style_1_ch"/>
        </w:rPr>
        <w:t>ru</w:t>
      </w:r>
      <w:r>
        <w:rPr>
          <w:rStyle w:val="Style_1_ch"/>
        </w:rPr>
        <w:fldChar w:fldCharType="end"/>
      </w:r>
      <w:r>
        <w:rPr>
          <w:color w:val="000000"/>
        </w:rPr>
        <w:t xml:space="preserve">, в разделе «Документы», подразделе «Антикоррупционная экспертиза нормативных правовых актов (проектов)» </w:t>
      </w:r>
      <w:r>
        <w:t xml:space="preserve">для проведения независимой антикоррупционной экспертизы. </w:t>
      </w:r>
    </w:p>
    <w:p w14:paraId="13000000">
      <w:pPr>
        <w:ind w:firstLine="567" w:left="0"/>
        <w:jc w:val="both"/>
      </w:pPr>
      <w:r>
        <w:t>3. В ходе антикоррупционной экспертизы проекта нормативного правового акта коррупциогенные факторы не обнаружены.</w:t>
      </w:r>
    </w:p>
    <w:p w14:paraId="14000000">
      <w:pPr>
        <w:ind w:firstLine="567" w:left="0"/>
        <w:jc w:val="both"/>
      </w:pPr>
      <w:r>
        <w:t>4. Проект нормативного правового акта может быть рекомендован для официального принятия.</w:t>
      </w:r>
    </w:p>
    <w:p w14:paraId="15000000"/>
    <w:p w14:paraId="16000000"/>
    <w:p w14:paraId="17000000">
      <w:r>
        <w:t>Исполняющий</w:t>
      </w:r>
      <w:r>
        <w:t xml:space="preserve"> обязанности начальника</w:t>
      </w:r>
    </w:p>
    <w:p w14:paraId="18000000">
      <w:r>
        <w:t>правового управления администрации</w:t>
      </w:r>
    </w:p>
    <w:p w14:paraId="19000000">
      <w:r>
        <w:t>Туапсинского муниципального округа                                               М.А.</w:t>
      </w:r>
      <w:r>
        <w:t xml:space="preserve"> </w:t>
      </w:r>
      <w:r>
        <w:t>Синенко</w:t>
      </w:r>
    </w:p>
    <w:p w14:paraId="1A000000"/>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spacing w:after="0" w:line="240" w:lineRule="auto"/>
      <w:ind/>
    </w:pPr>
    <w:rPr>
      <w:rFonts w:ascii="Times New Roman" w:hAnsi="Times New Roman"/>
      <w:sz w:val="28"/>
    </w:rPr>
  </w:style>
  <w:style w:default="1" w:styleId="Style_2_ch" w:type="character">
    <w:name w:val="Normal"/>
    <w:link w:val="Style_2"/>
    <w:rPr>
      <w:rFonts w:ascii="Times New Roman" w:hAnsi="Times New Roman"/>
      <w:sz w:val="28"/>
    </w:rPr>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Balloon Text"/>
    <w:basedOn w:val="Style_2"/>
    <w:link w:val="Style_7_ch"/>
    <w:rPr>
      <w:rFonts w:ascii="Tahoma" w:hAnsi="Tahoma"/>
      <w:sz w:val="16"/>
    </w:rPr>
  </w:style>
  <w:style w:styleId="Style_7_ch" w:type="character">
    <w:name w:val="Balloon Text"/>
    <w:basedOn w:val="Style_2_ch"/>
    <w:link w:val="Style_7"/>
    <w:rPr>
      <w:rFonts w:ascii="Tahoma" w:hAnsi="Tahoma"/>
      <w:sz w:val="16"/>
    </w:rPr>
  </w:style>
  <w:style w:styleId="Style_8" w:type="paragraph">
    <w:name w:val="Strong"/>
    <w:link w:val="Style_8_ch"/>
    <w:rPr>
      <w:rFonts w:ascii="Times New Roman" w:hAnsi="Times New Roman"/>
      <w:b w:val="1"/>
    </w:rPr>
  </w:style>
  <w:style w:styleId="Style_8_ch" w:type="character">
    <w:name w:val="Strong"/>
    <w:link w:val="Style_8"/>
    <w:rPr>
      <w:rFonts w:ascii="Times New Roman" w:hAnsi="Times New Roman"/>
      <w:b w:val="1"/>
    </w:rPr>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2"/>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Normal (Web)"/>
    <w:basedOn w:val="Style_2"/>
    <w:link w:val="Style_11_ch"/>
    <w:rPr>
      <w:sz w:val="24"/>
    </w:rPr>
  </w:style>
  <w:style w:styleId="Style_11_ch" w:type="character">
    <w:name w:val="Normal (Web)"/>
    <w:basedOn w:val="Style_2_ch"/>
    <w:link w:val="Style_11"/>
    <w:rPr>
      <w:sz w:val="24"/>
    </w:rPr>
  </w:style>
  <w:style w:styleId="Style_12" w:type="paragraph">
    <w:name w:val="ConsPlusNormal"/>
    <w:link w:val="Style_12_ch"/>
    <w:pPr>
      <w:widowControl w:val="0"/>
      <w:spacing w:after="0" w:line="240" w:lineRule="auto"/>
      <w:ind/>
    </w:pPr>
    <w:rPr>
      <w:rFonts w:ascii="Calibri" w:hAnsi="Calibri"/>
    </w:rPr>
  </w:style>
  <w:style w:styleId="Style_12_ch" w:type="character">
    <w:name w:val="ConsPlusNormal"/>
    <w:link w:val="Style_12"/>
    <w:rPr>
      <w:rFonts w:ascii="Calibri" w:hAnsi="Calibri"/>
    </w:rPr>
  </w:style>
  <w:style w:styleId="Style_13" w:type="paragraph">
    <w:name w:val="toc 3"/>
    <w:next w:val="Style_2"/>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Default Paragraph Font"/>
    <w:link w:val="Style_14_ch"/>
  </w:style>
  <w:style w:styleId="Style_14_ch" w:type="character">
    <w:name w:val="Default Paragraph Font"/>
    <w:link w:val="Style_14"/>
  </w:style>
  <w:style w:styleId="Style_15" w:type="paragraph">
    <w:name w:val="heading 5"/>
    <w:next w:val="Style_2"/>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heading 1"/>
    <w:next w:val="Style_2"/>
    <w:link w:val="Style_16_ch"/>
    <w:uiPriority w:val="9"/>
    <w:qFormat/>
    <w:pPr>
      <w:spacing w:after="120" w:before="120"/>
      <w:ind/>
      <w:jc w:val="both"/>
      <w:outlineLvl w:val="0"/>
    </w:pPr>
    <w:rPr>
      <w:rFonts w:ascii="XO Thames" w:hAnsi="XO Thames"/>
      <w:b w:val="1"/>
      <w:sz w:val="32"/>
    </w:rPr>
  </w:style>
  <w:style w:styleId="Style_16_ch" w:type="character">
    <w:name w:val="heading 1"/>
    <w:link w:val="Style_16"/>
    <w:rPr>
      <w:rFonts w:ascii="XO Thames" w:hAnsi="XO Thames"/>
      <w:b w:val="1"/>
      <w:sz w:val="32"/>
    </w:rPr>
  </w:style>
  <w:style w:styleId="Style_1" w:type="paragraph">
    <w:name w:val="Hyperlink"/>
    <w:basedOn w:val="Style_14"/>
    <w:link w:val="Style_1_ch"/>
    <w:rPr>
      <w:color w:val="0000FF"/>
      <w:u w:val="single"/>
    </w:rPr>
  </w:style>
  <w:style w:styleId="Style_1_ch" w:type="character">
    <w:name w:val="Hyperlink"/>
    <w:basedOn w:val="Style_14_ch"/>
    <w:link w:val="Style_1"/>
    <w:rPr>
      <w:color w:val="0000FF"/>
      <w:u w:val="single"/>
    </w:rPr>
  </w:style>
  <w:style w:styleId="Style_17" w:type="paragraph">
    <w:name w:val="Footnote"/>
    <w:link w:val="Style_17_ch"/>
    <w:pPr>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2"/>
    <w:link w:val="Style_18_ch"/>
    <w:uiPriority w:val="39"/>
    <w:pPr>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Header and Footer"/>
    <w:link w:val="Style_19_ch"/>
    <w:pPr>
      <w:spacing w:line="240" w:lineRule="auto"/>
      <w:ind/>
      <w:jc w:val="both"/>
    </w:pPr>
    <w:rPr>
      <w:rFonts w:ascii="XO Thames" w:hAnsi="XO Thames"/>
      <w:sz w:val="28"/>
    </w:rPr>
  </w:style>
  <w:style w:styleId="Style_19_ch" w:type="character">
    <w:name w:val="Header and Footer"/>
    <w:link w:val="Style_19"/>
    <w:rPr>
      <w:rFonts w:ascii="XO Thames" w:hAnsi="XO Thames"/>
      <w:sz w:val="28"/>
    </w:rPr>
  </w:style>
  <w:style w:styleId="Style_20" w:type="paragraph">
    <w:name w:val="toc 9"/>
    <w:next w:val="Style_2"/>
    <w:link w:val="Style_20_ch"/>
    <w:uiPriority w:val="39"/>
    <w:pPr>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toc 8"/>
    <w:next w:val="Style_2"/>
    <w:link w:val="Style_21_ch"/>
    <w:uiPriority w:val="39"/>
    <w:pPr>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2" w:type="paragraph">
    <w:name w:val="toc 5"/>
    <w:next w:val="Style_2"/>
    <w:link w:val="Style_22_ch"/>
    <w:uiPriority w:val="39"/>
    <w:pPr>
      <w:ind w:firstLine="0" w:left="800"/>
      <w:jc w:val="left"/>
    </w:pPr>
    <w:rPr>
      <w:rFonts w:ascii="XO Thames" w:hAnsi="XO Thames"/>
      <w:sz w:val="28"/>
    </w:rPr>
  </w:style>
  <w:style w:styleId="Style_22_ch" w:type="character">
    <w:name w:val="toc 5"/>
    <w:link w:val="Style_22"/>
    <w:rPr>
      <w:rFonts w:ascii="XO Thames" w:hAnsi="XO Thames"/>
      <w:sz w:val="28"/>
    </w:rPr>
  </w:style>
  <w:style w:styleId="Style_23" w:type="paragraph">
    <w:name w:val="Subtitle"/>
    <w:next w:val="Style_2"/>
    <w:link w:val="Style_23_ch"/>
    <w:uiPriority w:val="11"/>
    <w:qFormat/>
    <w:pPr>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next w:val="Style_2"/>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2"/>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26" w:type="paragraph">
    <w:name w:val="heading 2"/>
    <w:next w:val="Style_2"/>
    <w:link w:val="Style_26_ch"/>
    <w:uiPriority w:val="9"/>
    <w:qFormat/>
    <w:pPr>
      <w:spacing w:after="120" w:before="120"/>
      <w:ind/>
      <w:jc w:val="both"/>
      <w:outlineLvl w:val="1"/>
    </w:pPr>
    <w:rPr>
      <w:rFonts w:ascii="XO Thames" w:hAnsi="XO Thames"/>
      <w:b w:val="1"/>
      <w:sz w:val="28"/>
    </w:rPr>
  </w:style>
  <w:style w:styleId="Style_26_ch" w:type="character">
    <w:name w:val="heading 2"/>
    <w:link w:val="Style_26"/>
    <w:rPr>
      <w:rFonts w:ascii="XO Thames" w:hAnsi="XO Thames"/>
      <w:b w:val="1"/>
      <w:sz w:val="28"/>
    </w:rPr>
  </w:style>
  <w:style w:default="1" w:styleId="Style_27" w:type="table">
    <w:name w:val="Normal Table"/>
    <w:tblPr>
      <w:tblInd w:type="dxa" w:w="0"/>
      <w:tblCellMar>
        <w:top w:type="dxa" w:w="0"/>
        <w:left w:type="dxa" w:w="108"/>
        <w:bottom w:type="dxa" w:w="0"/>
        <w:right w:type="dxa" w:w="108"/>
      </w:tblCellMar>
    </w:tblPr>
  </w:style>
  <w:style w:styleId="Style_28" w:type="table">
    <w:name w:val="Table Grid"/>
    <w:basedOn w:val="Style_27"/>
    <w:pPr>
      <w:spacing w:after="0" w:line="240" w:lineRule="auto"/>
      <w:ind/>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MyOffice-CoreFramework-Linux/32-1208.815.9166.836.1@c028b4579ab889516ede6e689f46f6dad43bf900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2025-03-06T11:01:39Z</dcterms:modified>
</cp:coreProperties>
</file>