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ind w:firstLine="0" w:left="4961"/>
      </w:pPr>
      <w:r>
        <w:t>Начальнику управления капитального строительства администрации Туапсинского муниципального округа</w:t>
      </w:r>
    </w:p>
    <w:p w14:paraId="02000000">
      <w:pPr>
        <w:ind w:firstLine="0" w:left="4961"/>
      </w:pPr>
    </w:p>
    <w:p w14:paraId="03000000">
      <w:pPr>
        <w:ind w:firstLine="0" w:left="4961"/>
      </w:pPr>
      <w:r>
        <w:t>Шхалахову З.Ю.</w:t>
      </w:r>
    </w:p>
    <w:p w14:paraId="04000000">
      <w:pPr>
        <w:ind/>
        <w:jc w:val="both"/>
        <w:rPr>
          <w:b w:val="1"/>
        </w:rPr>
      </w:pPr>
    </w:p>
    <w:p w14:paraId="05000000">
      <w:pPr>
        <w:ind/>
        <w:jc w:val="center"/>
        <w:rPr>
          <w:b w:val="1"/>
        </w:rPr>
      </w:pPr>
    </w:p>
    <w:p w14:paraId="06000000">
      <w:pPr>
        <w:ind/>
        <w:jc w:val="center"/>
        <w:rPr>
          <w:b w:val="1"/>
        </w:rPr>
      </w:pPr>
    </w:p>
    <w:p w14:paraId="07000000">
      <w:pPr>
        <w:ind/>
        <w:jc w:val="center"/>
        <w:rPr>
          <w:b w:val="1"/>
        </w:rPr>
      </w:pPr>
      <w:r>
        <w:rPr>
          <w:b w:val="1"/>
        </w:rPr>
        <w:t>Заключение</w:t>
      </w:r>
    </w:p>
    <w:p w14:paraId="08000000">
      <w:pPr>
        <w:ind/>
        <w:jc w:val="center"/>
        <w:rPr>
          <w:b w:val="0"/>
        </w:rPr>
      </w:pPr>
      <w:r>
        <w:t>по результатам экспертизы проекта постановления администрации Туапсинского муниципаль</w:t>
      </w:r>
      <w:r>
        <w:rPr>
          <w:b w:val="0"/>
        </w:rPr>
        <w:t xml:space="preserve">ного округа </w:t>
      </w:r>
      <w:r>
        <w:rPr>
          <w:b w:val="0"/>
        </w:rPr>
        <w:t>«</w:t>
      </w:r>
      <w:r>
        <w:rPr>
          <w:rFonts w:ascii="Times New Roman" w:hAnsi="Times New Roman"/>
          <w:b w:val="0"/>
          <w:sz w:val="28"/>
        </w:rPr>
        <w:t xml:space="preserve">О создании муниципального </w:t>
      </w:r>
    </w:p>
    <w:p w14:paraId="09000000">
      <w:pPr>
        <w:ind/>
        <w:jc w:val="center"/>
        <w:rPr>
          <w:b w:val="0"/>
        </w:rPr>
      </w:pPr>
      <w:r>
        <w:rPr>
          <w:rFonts w:ascii="Times New Roman" w:hAnsi="Times New Roman"/>
          <w:b w:val="0"/>
          <w:sz w:val="28"/>
        </w:rPr>
        <w:t>штаба</w:t>
      </w:r>
      <w:r>
        <w:rPr>
          <w:b w:val="0"/>
          <w:sz w:val="28"/>
        </w:rPr>
        <w:t xml:space="preserve"> по догазификации </w:t>
      </w:r>
      <w:r>
        <w:rPr>
          <w:b w:val="0"/>
          <w:sz w:val="28"/>
        </w:rPr>
        <w:t xml:space="preserve">населения </w:t>
      </w:r>
      <w:r>
        <w:rPr>
          <w:b w:val="0"/>
          <w:sz w:val="28"/>
        </w:rPr>
        <w:t xml:space="preserve">Туапсинского </w:t>
      </w:r>
      <w:r>
        <w:rPr>
          <w:b w:val="0"/>
          <w:sz w:val="28"/>
        </w:rPr>
        <w:t>муниципально</w:t>
      </w:r>
      <w:r>
        <w:rPr>
          <w:b w:val="0"/>
          <w:sz w:val="28"/>
        </w:rPr>
        <w:t>го</w:t>
      </w:r>
      <w:r>
        <w:rPr>
          <w:b w:val="0"/>
          <w:sz w:val="28"/>
        </w:rPr>
        <w:t xml:space="preserve"> </w:t>
      </w:r>
    </w:p>
    <w:p w14:paraId="0A000000">
      <w:pPr>
        <w:ind/>
        <w:jc w:val="center"/>
      </w:pPr>
      <w:r>
        <w:rPr>
          <w:b w:val="0"/>
          <w:sz w:val="28"/>
        </w:rPr>
        <w:t>округ</w:t>
      </w:r>
      <w:r>
        <w:rPr>
          <w:b w:val="0"/>
          <w:sz w:val="28"/>
        </w:rPr>
        <w:t>а»</w:t>
      </w:r>
    </w:p>
    <w:p w14:paraId="0B000000">
      <w:pPr>
        <w:ind/>
        <w:jc w:val="center"/>
        <w:rPr>
          <w:b w:val="1"/>
        </w:rPr>
      </w:pPr>
    </w:p>
    <w:p w14:paraId="0C000000">
      <w:pPr>
        <w:rPr>
          <w:b w:val="1"/>
        </w:rPr>
      </w:pPr>
    </w:p>
    <w:p w14:paraId="0D000000">
      <w:pPr>
        <w:ind w:firstLine="567" w:left="0"/>
        <w:jc w:val="both"/>
        <w:rPr>
          <w:color w:val="000000"/>
        </w:rPr>
      </w:pPr>
      <w:r>
        <w:t xml:space="preserve">Правовое управление администрации Туапсинского муниципального округа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Краснодарского края, рассмотрев проект постановления администрации муниципального образования Туапсинский муниципальный округ </w:t>
      </w:r>
      <w:r>
        <w:t>«</w:t>
      </w:r>
      <w:r>
        <w:rPr>
          <w:rFonts w:ascii="Times New Roman" w:hAnsi="Times New Roman"/>
          <w:b w:val="0"/>
          <w:sz w:val="28"/>
        </w:rPr>
        <w:t xml:space="preserve">О создании муниципального </w:t>
      </w:r>
      <w:r>
        <w:rPr>
          <w:rFonts w:ascii="Times New Roman" w:hAnsi="Times New Roman"/>
          <w:b w:val="0"/>
          <w:sz w:val="28"/>
        </w:rPr>
        <w:t>штаба</w:t>
      </w:r>
      <w:r>
        <w:rPr>
          <w:b w:val="0"/>
          <w:sz w:val="28"/>
        </w:rPr>
        <w:t xml:space="preserve"> по догазификации </w:t>
      </w:r>
      <w:r>
        <w:rPr>
          <w:b w:val="0"/>
          <w:sz w:val="28"/>
        </w:rPr>
        <w:t xml:space="preserve">населения </w:t>
      </w:r>
      <w:r>
        <w:rPr>
          <w:b w:val="0"/>
          <w:sz w:val="28"/>
        </w:rPr>
        <w:t xml:space="preserve">Туапсинского </w:t>
      </w:r>
      <w:r>
        <w:rPr>
          <w:b w:val="0"/>
          <w:sz w:val="28"/>
        </w:rPr>
        <w:t>муниципально</w:t>
      </w:r>
      <w:r>
        <w:rPr>
          <w:b w:val="0"/>
          <w:sz w:val="28"/>
        </w:rPr>
        <w:t>го</w:t>
      </w:r>
      <w:r>
        <w:rPr>
          <w:b w:val="0"/>
          <w:sz w:val="28"/>
        </w:rPr>
        <w:t xml:space="preserve"> </w:t>
      </w:r>
      <w:r>
        <w:rPr>
          <w:b w:val="0"/>
          <w:sz w:val="28"/>
        </w:rPr>
        <w:t>округ</w:t>
      </w:r>
      <w:r>
        <w:rPr>
          <w:b w:val="0"/>
          <w:sz w:val="28"/>
        </w:rPr>
        <w:t>а</w:t>
      </w:r>
      <w:r>
        <w:t>»</w:t>
      </w:r>
      <w:bookmarkStart w:id="1" w:name="_GoBack"/>
      <w:bookmarkEnd w:id="1"/>
      <w:r>
        <w:rPr>
          <w:b w:val="1"/>
        </w:rPr>
        <w:t xml:space="preserve">, </w:t>
      </w:r>
      <w:r>
        <w:t>поступивший из управления капитального строительства администрации Туапсинского муниципального округа установил:</w:t>
      </w:r>
    </w:p>
    <w:p w14:paraId="0E000000">
      <w:pPr>
        <w:ind w:firstLine="567" w:left="0"/>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14:paraId="0F000000">
      <w:pPr>
        <w:ind w:firstLine="567" w:left="0"/>
        <w:jc w:val="both"/>
      </w:pPr>
      <w:r>
        <w:rPr>
          <w:sz w:val="28"/>
        </w:rPr>
        <w:t>Законом Краснодарского края</w:t>
      </w:r>
      <w:r>
        <w:t xml:space="preserve"> </w:t>
      </w:r>
      <w:r>
        <w:rPr>
          <w:sz w:val="28"/>
        </w:rPr>
        <w:t xml:space="preserve">от 8 февраля 2024 г. </w:t>
      </w:r>
      <w:r>
        <w:rPr>
          <w:sz w:val="28"/>
        </w:rPr>
        <w:t xml:space="preserve">№ 5070-КЗ </w:t>
      </w:r>
      <w:r>
        <w:rPr>
          <w:sz w:val="28"/>
        </w:rPr>
        <w:t xml:space="preserve">«О преобразовании поселений, входящих в состав муниципального образования Туапсинский район, путем их объединения и о наделении вновь образованного муниципального образования статусом муниципального округа», </w:t>
      </w:r>
      <w:r>
        <w:rPr>
          <w:sz w:val="28"/>
        </w:rPr>
        <w:t xml:space="preserve">решениями Совета муниципального образования Туапсинский муниципальный округ Краснодарского края от 20 декабря 2024 г. № 116 «Об изменении наименования исполнительно-распорядительного органа муниципального образования – администрации муниципального образования  Туапсинский район», от 20 декабря 2024 г. № 117 «О правопреемстве администрации муниципального образования Туапсинский муниципальный округ Краснодарского края», </w:t>
      </w:r>
      <w:r>
        <w:rPr>
          <w:sz w:val="28"/>
        </w:rPr>
        <w:t>в</w:t>
      </w:r>
      <w:r>
        <w:rPr>
          <w:sz w:val="28"/>
        </w:rPr>
        <w:t xml:space="preserve"> целях обеспечения исполнения поручений Президента Российской Федерации Путина В.В. от 2 мая 2021 г. № Пр-753</w:t>
      </w:r>
      <w:r>
        <w:rPr>
          <w:sz w:val="28"/>
        </w:rPr>
        <w:t>,</w:t>
      </w:r>
      <w:r>
        <w:rPr>
          <w:sz w:val="28"/>
        </w:rPr>
        <w:t xml:space="preserve"> указанных в рамках Послания Президента Российской Федерации Федеральному Собранию Российской Федерации от 21 апреля 2021 г., распоряжения Правительства Российской Федерации от 30 апреля 2021 г.</w:t>
      </w:r>
      <w:r>
        <w:rPr>
          <w:sz w:val="28"/>
        </w:rPr>
        <w:t>№ 1152-р по утверждению плана мероприятий («дорожной карты») по внедрению социально ориентированной</w:t>
      </w:r>
      <w:r>
        <w:rPr>
          <w:sz w:val="28"/>
        </w:rPr>
        <w:t xml:space="preserve"> </w:t>
      </w:r>
      <w:r>
        <w:rPr>
          <w:sz w:val="28"/>
        </w:rPr>
        <w:t>и экономически эффективной системы газификации и газоснабжения субъектов Российской Федерации</w:t>
      </w:r>
      <w:r>
        <w:t>.</w:t>
      </w:r>
    </w:p>
    <w:p w14:paraId="10000000">
      <w:pPr>
        <w:ind w:firstLine="567" w:left="0"/>
        <w:jc w:val="both"/>
      </w:pPr>
      <w:r>
        <w:t xml:space="preserve">2. Проект нормативного правового акта размещен на сайте администрации </w:t>
      </w:r>
      <w:r>
        <w:t>Туапсинского муниципального округа</w:t>
      </w:r>
      <w:r>
        <w:rPr>
          <w:color w:val="000000"/>
        </w:rPr>
        <w:t xml:space="preserve"> </w:t>
      </w:r>
      <w:r>
        <w:rPr>
          <w:rStyle w:val="Style_1_ch"/>
        </w:rPr>
        <w:fldChar w:fldCharType="begin"/>
      </w:r>
      <w:r>
        <w:rPr>
          <w:rStyle w:val="Style_1_ch"/>
        </w:rPr>
        <w:instrText>HYPERLINK "http://www.tuapseregion.ru/"</w:instrText>
      </w:r>
      <w:r>
        <w:rPr>
          <w:rStyle w:val="Style_1_ch"/>
        </w:rPr>
        <w:fldChar w:fldCharType="separate"/>
      </w:r>
      <w:r>
        <w:rPr>
          <w:rStyle w:val="Style_1_ch"/>
        </w:rPr>
        <w:t>www</w:t>
      </w:r>
      <w:r>
        <w:rPr>
          <w:rStyle w:val="Style_1_ch"/>
        </w:rPr>
        <w:t>.</w:t>
      </w:r>
      <w:r>
        <w:rPr>
          <w:rStyle w:val="Style_1_ch"/>
        </w:rPr>
        <w:t>tuapseregion</w:t>
      </w:r>
      <w:r>
        <w:rPr>
          <w:rStyle w:val="Style_1_ch"/>
        </w:rPr>
        <w:t>.</w:t>
      </w:r>
      <w:r>
        <w:rPr>
          <w:rStyle w:val="Style_1_ch"/>
        </w:rPr>
        <w:t>ru</w:t>
      </w:r>
      <w:r>
        <w:rPr>
          <w:rStyle w:val="Style_1_ch"/>
        </w:rPr>
        <w:fldChar w:fldCharType="end"/>
      </w:r>
      <w:r>
        <w:rPr>
          <w:color w:val="000000"/>
        </w:rPr>
        <w:t xml:space="preserve">, в разделе «Документы», подразделе «Антикоррупционная экспертиза нормативных правовых актов (проектов)» </w:t>
      </w:r>
      <w:r>
        <w:t xml:space="preserve">для проведения независимой антикоррупционной экспертизы. </w:t>
      </w:r>
    </w:p>
    <w:p w14:paraId="11000000">
      <w:pPr>
        <w:ind w:firstLine="567" w:left="0"/>
        <w:jc w:val="both"/>
      </w:pPr>
      <w:r>
        <w:t>3. В ходе антикоррупционной экспертизы проекта нормативного правового акта коррупциогенные факторы не обнаружены.</w:t>
      </w:r>
    </w:p>
    <w:p w14:paraId="12000000">
      <w:pPr>
        <w:ind w:firstLine="567" w:left="0"/>
        <w:jc w:val="both"/>
      </w:pPr>
      <w:r>
        <w:t>4. Проект нормативного правового акта может быть рекомендован для официального принятия.</w:t>
      </w:r>
    </w:p>
    <w:p w14:paraId="13000000"/>
    <w:p w14:paraId="14000000"/>
    <w:p w14:paraId="15000000">
      <w:r>
        <w:t>Исполняющий обязанности начальника</w:t>
      </w:r>
    </w:p>
    <w:p w14:paraId="16000000">
      <w:r>
        <w:t>правового управления администрации</w:t>
      </w:r>
    </w:p>
    <w:p w14:paraId="17000000">
      <w:r>
        <w:t>Туапсинского муниципального округа                                          Е.В. Филимонова</w:t>
      </w:r>
    </w:p>
    <w:p w14:paraId="18000000"/>
    <w:sectPr>
      <w:pgSz w:h="16838" w:orient="portrait" w:w="11906"/>
      <w:pgMar w:bottom="1134" w:footer="709" w:gutter="0" w:header="709" w:left="1701" w:right="567"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spacing w:after="0" w:line="240" w:lineRule="auto"/>
      <w:ind/>
    </w:pPr>
    <w:rPr>
      <w:rFonts w:ascii="Times New Roman" w:hAnsi="Times New Roman"/>
      <w:sz w:val="28"/>
    </w:rPr>
  </w:style>
  <w:style w:default="1" w:styleId="Style_2_ch" w:type="character">
    <w:name w:val="Normal"/>
    <w:link w:val="Style_2"/>
    <w:rPr>
      <w:rFonts w:ascii="Times New Roman" w:hAnsi="Times New Roman"/>
      <w:sz w:val="28"/>
    </w:rPr>
  </w:style>
  <w:style w:styleId="Style_3" w:type="paragraph">
    <w:name w:val="toc 2"/>
    <w:next w:val="Style_2"/>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2"/>
    <w:link w:val="Style_5_ch"/>
    <w:uiPriority w:val="39"/>
    <w:pPr>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2"/>
    <w:link w:val="Style_6_ch"/>
    <w:uiPriority w:val="39"/>
    <w:pPr>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Balloon Text"/>
    <w:basedOn w:val="Style_2"/>
    <w:link w:val="Style_7_ch"/>
    <w:rPr>
      <w:rFonts w:ascii="Tahoma" w:hAnsi="Tahoma"/>
      <w:sz w:val="16"/>
    </w:rPr>
  </w:style>
  <w:style w:styleId="Style_7_ch" w:type="character">
    <w:name w:val="Balloon Text"/>
    <w:basedOn w:val="Style_2_ch"/>
    <w:link w:val="Style_7"/>
    <w:rPr>
      <w:rFonts w:ascii="Tahoma" w:hAnsi="Tahoma"/>
      <w:sz w:val="16"/>
    </w:rPr>
  </w:style>
  <w:style w:styleId="Style_8" w:type="paragraph">
    <w:name w:val="Endnote"/>
    <w:link w:val="Style_8_ch"/>
    <w:pPr>
      <w:ind w:firstLine="851" w:left="0"/>
      <w:jc w:val="both"/>
    </w:pPr>
    <w:rPr>
      <w:rFonts w:ascii="XO Thames" w:hAnsi="XO Thames"/>
      <w:sz w:val="22"/>
    </w:rPr>
  </w:style>
  <w:style w:styleId="Style_8_ch" w:type="character">
    <w:name w:val="Endnote"/>
    <w:link w:val="Style_8"/>
    <w:rPr>
      <w:rFonts w:ascii="XO Thames" w:hAnsi="XO Thames"/>
      <w:sz w:val="22"/>
    </w:rPr>
  </w:style>
  <w:style w:styleId="Style_9" w:type="paragraph">
    <w:name w:val="heading 3"/>
    <w:next w:val="Style_2"/>
    <w:link w:val="Style_9_ch"/>
    <w:uiPriority w:val="9"/>
    <w:qFormat/>
    <w:pPr>
      <w:spacing w:after="120" w:before="120"/>
      <w:ind/>
      <w:jc w:val="both"/>
      <w:outlineLvl w:val="2"/>
    </w:pPr>
    <w:rPr>
      <w:rFonts w:ascii="XO Thames" w:hAnsi="XO Thames"/>
      <w:b w:val="1"/>
      <w:sz w:val="26"/>
    </w:rPr>
  </w:style>
  <w:style w:styleId="Style_9_ch" w:type="character">
    <w:name w:val="heading 3"/>
    <w:link w:val="Style_9"/>
    <w:rPr>
      <w:rFonts w:ascii="XO Thames" w:hAnsi="XO Thames"/>
      <w:b w:val="1"/>
      <w:sz w:val="26"/>
    </w:rPr>
  </w:style>
  <w:style w:styleId="Style_10" w:type="paragraph">
    <w:name w:val="Normal (Web)"/>
    <w:basedOn w:val="Style_2"/>
    <w:link w:val="Style_10_ch"/>
    <w:rPr>
      <w:sz w:val="24"/>
    </w:rPr>
  </w:style>
  <w:style w:styleId="Style_10_ch" w:type="character">
    <w:name w:val="Normal (Web)"/>
    <w:basedOn w:val="Style_2_ch"/>
    <w:link w:val="Style_10"/>
    <w:rPr>
      <w:sz w:val="24"/>
    </w:rPr>
  </w:style>
  <w:style w:styleId="Style_11" w:type="paragraph">
    <w:name w:val="toc 3"/>
    <w:next w:val="Style_2"/>
    <w:link w:val="Style_11_ch"/>
    <w:uiPriority w:val="39"/>
    <w:pPr>
      <w:ind w:firstLine="0" w:left="400"/>
      <w:jc w:val="left"/>
    </w:pPr>
    <w:rPr>
      <w:rFonts w:ascii="XO Thames" w:hAnsi="XO Thames"/>
      <w:sz w:val="28"/>
    </w:rPr>
  </w:style>
  <w:style w:styleId="Style_11_ch" w:type="character">
    <w:name w:val="toc 3"/>
    <w:link w:val="Style_11"/>
    <w:rPr>
      <w:rFonts w:ascii="XO Thames" w:hAnsi="XO Thames"/>
      <w:sz w:val="28"/>
    </w:rPr>
  </w:style>
  <w:style w:styleId="Style_12" w:type="paragraph">
    <w:name w:val="heading 5"/>
    <w:next w:val="Style_2"/>
    <w:link w:val="Style_12_ch"/>
    <w:uiPriority w:val="9"/>
    <w:qFormat/>
    <w:pPr>
      <w:spacing w:after="120" w:before="120"/>
      <w:ind/>
      <w:jc w:val="both"/>
      <w:outlineLvl w:val="4"/>
    </w:pPr>
    <w:rPr>
      <w:rFonts w:ascii="XO Thames" w:hAnsi="XO Thames"/>
      <w:b w:val="1"/>
      <w:sz w:val="22"/>
    </w:rPr>
  </w:style>
  <w:style w:styleId="Style_12_ch" w:type="character">
    <w:name w:val="heading 5"/>
    <w:link w:val="Style_12"/>
    <w:rPr>
      <w:rFonts w:ascii="XO Thames" w:hAnsi="XO Thames"/>
      <w:b w:val="1"/>
      <w:sz w:val="22"/>
    </w:rPr>
  </w:style>
  <w:style w:styleId="Style_13" w:type="paragraph">
    <w:name w:val="Strong"/>
    <w:link w:val="Style_13_ch"/>
    <w:rPr>
      <w:rFonts w:ascii="Times New Roman" w:hAnsi="Times New Roman"/>
      <w:b w:val="1"/>
    </w:rPr>
  </w:style>
  <w:style w:styleId="Style_13_ch" w:type="character">
    <w:name w:val="Strong"/>
    <w:link w:val="Style_13"/>
    <w:rPr>
      <w:rFonts w:ascii="Times New Roman" w:hAnsi="Times New Roman"/>
      <w:b w:val="1"/>
    </w:rPr>
  </w:style>
  <w:style w:styleId="Style_14" w:type="paragraph">
    <w:name w:val="heading 1"/>
    <w:next w:val="Style_2"/>
    <w:link w:val="Style_14_ch"/>
    <w:uiPriority w:val="9"/>
    <w:qFormat/>
    <w:pPr>
      <w:spacing w:after="120" w:before="120"/>
      <w:ind/>
      <w:jc w:val="both"/>
      <w:outlineLvl w:val="0"/>
    </w:pPr>
    <w:rPr>
      <w:rFonts w:ascii="XO Thames" w:hAnsi="XO Thames"/>
      <w:b w:val="1"/>
      <w:sz w:val="32"/>
    </w:rPr>
  </w:style>
  <w:style w:styleId="Style_14_ch" w:type="character">
    <w:name w:val="heading 1"/>
    <w:link w:val="Style_14"/>
    <w:rPr>
      <w:rFonts w:ascii="XO Thames" w:hAnsi="XO Thames"/>
      <w:b w:val="1"/>
      <w:sz w:val="32"/>
    </w:rPr>
  </w:style>
  <w:style w:styleId="Style_1" w:type="paragraph">
    <w:name w:val="Hyperlink"/>
    <w:basedOn w:val="Style_15"/>
    <w:link w:val="Style_1_ch"/>
    <w:rPr>
      <w:color w:val="0000FF"/>
      <w:u w:val="single"/>
    </w:rPr>
  </w:style>
  <w:style w:styleId="Style_1_ch" w:type="character">
    <w:name w:val="Hyperlink"/>
    <w:basedOn w:val="Style_15_ch"/>
    <w:link w:val="Style_1"/>
    <w:rPr>
      <w:color w:val="0000FF"/>
      <w:u w:val="single"/>
    </w:rPr>
  </w:style>
  <w:style w:styleId="Style_16" w:type="paragraph">
    <w:name w:val="Footnote"/>
    <w:link w:val="Style_16_ch"/>
    <w:pPr>
      <w:ind w:firstLine="851" w:left="0"/>
      <w:jc w:val="both"/>
    </w:pPr>
    <w:rPr>
      <w:rFonts w:ascii="XO Thames" w:hAnsi="XO Thames"/>
      <w:sz w:val="22"/>
    </w:rPr>
  </w:style>
  <w:style w:styleId="Style_16_ch" w:type="character">
    <w:name w:val="Footnote"/>
    <w:link w:val="Style_16"/>
    <w:rPr>
      <w:rFonts w:ascii="XO Thames" w:hAnsi="XO Thames"/>
      <w:sz w:val="22"/>
    </w:rPr>
  </w:style>
  <w:style w:styleId="Style_17" w:type="paragraph">
    <w:name w:val="ConsPlusNormal"/>
    <w:link w:val="Style_17_ch"/>
    <w:pPr>
      <w:widowControl w:val="0"/>
      <w:spacing w:after="0" w:line="240" w:lineRule="auto"/>
      <w:ind/>
    </w:pPr>
    <w:rPr>
      <w:rFonts w:ascii="Calibri" w:hAnsi="Calibri"/>
    </w:rPr>
  </w:style>
  <w:style w:styleId="Style_17_ch" w:type="character">
    <w:name w:val="ConsPlusNormal"/>
    <w:link w:val="Style_17"/>
    <w:rPr>
      <w:rFonts w:ascii="Calibri" w:hAnsi="Calibri"/>
    </w:rPr>
  </w:style>
  <w:style w:styleId="Style_18" w:type="paragraph">
    <w:name w:val="toc 1"/>
    <w:next w:val="Style_2"/>
    <w:link w:val="Style_18_ch"/>
    <w:uiPriority w:val="39"/>
    <w:pPr>
      <w:ind w:firstLine="0" w:left="0"/>
      <w:jc w:val="left"/>
    </w:pPr>
    <w:rPr>
      <w:rFonts w:ascii="XO Thames" w:hAnsi="XO Thames"/>
      <w:b w:val="1"/>
      <w:sz w:val="28"/>
    </w:rPr>
  </w:style>
  <w:style w:styleId="Style_18_ch" w:type="character">
    <w:name w:val="toc 1"/>
    <w:link w:val="Style_18"/>
    <w:rPr>
      <w:rFonts w:ascii="XO Thames" w:hAnsi="XO Thames"/>
      <w:b w:val="1"/>
      <w:sz w:val="28"/>
    </w:rPr>
  </w:style>
  <w:style w:styleId="Style_19" w:type="paragraph">
    <w:name w:val="Header and Footer"/>
    <w:link w:val="Style_19_ch"/>
    <w:pPr>
      <w:spacing w:line="240" w:lineRule="auto"/>
      <w:ind/>
      <w:jc w:val="both"/>
    </w:pPr>
    <w:rPr>
      <w:rFonts w:ascii="XO Thames" w:hAnsi="XO Thames"/>
      <w:sz w:val="28"/>
    </w:rPr>
  </w:style>
  <w:style w:styleId="Style_19_ch" w:type="character">
    <w:name w:val="Header and Footer"/>
    <w:link w:val="Style_19"/>
    <w:rPr>
      <w:rFonts w:ascii="XO Thames" w:hAnsi="XO Thames"/>
      <w:sz w:val="28"/>
    </w:rPr>
  </w:style>
  <w:style w:styleId="Style_20" w:type="paragraph">
    <w:name w:val="toc 9"/>
    <w:next w:val="Style_2"/>
    <w:link w:val="Style_20_ch"/>
    <w:uiPriority w:val="39"/>
    <w:pPr>
      <w:ind w:firstLine="0" w:left="1600"/>
      <w:jc w:val="left"/>
    </w:pPr>
    <w:rPr>
      <w:rFonts w:ascii="XO Thames" w:hAnsi="XO Thames"/>
      <w:sz w:val="28"/>
    </w:rPr>
  </w:style>
  <w:style w:styleId="Style_20_ch" w:type="character">
    <w:name w:val="toc 9"/>
    <w:link w:val="Style_20"/>
    <w:rPr>
      <w:rFonts w:ascii="XO Thames" w:hAnsi="XO Thames"/>
      <w:sz w:val="28"/>
    </w:rPr>
  </w:style>
  <w:style w:styleId="Style_21" w:type="paragraph">
    <w:name w:val="toc 8"/>
    <w:next w:val="Style_2"/>
    <w:link w:val="Style_21_ch"/>
    <w:uiPriority w:val="39"/>
    <w:pPr>
      <w:ind w:firstLine="0" w:left="1400"/>
      <w:jc w:val="left"/>
    </w:pPr>
    <w:rPr>
      <w:rFonts w:ascii="XO Thames" w:hAnsi="XO Thames"/>
      <w:sz w:val="28"/>
    </w:rPr>
  </w:style>
  <w:style w:styleId="Style_21_ch" w:type="character">
    <w:name w:val="toc 8"/>
    <w:link w:val="Style_21"/>
    <w:rPr>
      <w:rFonts w:ascii="XO Thames" w:hAnsi="XO Thames"/>
      <w:sz w:val="28"/>
    </w:rPr>
  </w:style>
  <w:style w:styleId="Style_22" w:type="paragraph">
    <w:name w:val="toc 5"/>
    <w:next w:val="Style_2"/>
    <w:link w:val="Style_22_ch"/>
    <w:uiPriority w:val="39"/>
    <w:pPr>
      <w:ind w:firstLine="0" w:left="800"/>
      <w:jc w:val="left"/>
    </w:pPr>
    <w:rPr>
      <w:rFonts w:ascii="XO Thames" w:hAnsi="XO Thames"/>
      <w:sz w:val="28"/>
    </w:rPr>
  </w:style>
  <w:style w:styleId="Style_22_ch" w:type="character">
    <w:name w:val="toc 5"/>
    <w:link w:val="Style_22"/>
    <w:rPr>
      <w:rFonts w:ascii="XO Thames" w:hAnsi="XO Thames"/>
      <w:sz w:val="28"/>
    </w:rPr>
  </w:style>
  <w:style w:styleId="Style_23" w:type="paragraph">
    <w:name w:val="Subtitle"/>
    <w:next w:val="Style_2"/>
    <w:link w:val="Style_23_ch"/>
    <w:uiPriority w:val="11"/>
    <w:qFormat/>
    <w:pPr>
      <w:ind/>
      <w:jc w:val="both"/>
    </w:pPr>
    <w:rPr>
      <w:rFonts w:ascii="XO Thames" w:hAnsi="XO Thames"/>
      <w:i w:val="1"/>
      <w:sz w:val="24"/>
    </w:rPr>
  </w:style>
  <w:style w:styleId="Style_23_ch" w:type="character">
    <w:name w:val="Subtitle"/>
    <w:link w:val="Style_23"/>
    <w:rPr>
      <w:rFonts w:ascii="XO Thames" w:hAnsi="XO Thames"/>
      <w:i w:val="1"/>
      <w:sz w:val="24"/>
    </w:rPr>
  </w:style>
  <w:style w:styleId="Style_15" w:type="paragraph">
    <w:name w:val="Default Paragraph Font"/>
    <w:link w:val="Style_15_ch"/>
  </w:style>
  <w:style w:styleId="Style_15_ch" w:type="character">
    <w:name w:val="Default Paragraph Font"/>
    <w:link w:val="Style_15"/>
  </w:style>
  <w:style w:styleId="Style_24" w:type="paragraph">
    <w:name w:val="Title"/>
    <w:next w:val="Style_2"/>
    <w:link w:val="Style_24_ch"/>
    <w:uiPriority w:val="10"/>
    <w:qFormat/>
    <w:pPr>
      <w:spacing w:after="567" w:before="567"/>
      <w:ind/>
      <w:jc w:val="center"/>
    </w:pPr>
    <w:rPr>
      <w:rFonts w:ascii="XO Thames" w:hAnsi="XO Thames"/>
      <w:b w:val="1"/>
      <w:caps w:val="1"/>
      <w:sz w:val="40"/>
    </w:rPr>
  </w:style>
  <w:style w:styleId="Style_24_ch" w:type="character">
    <w:name w:val="Title"/>
    <w:link w:val="Style_24"/>
    <w:rPr>
      <w:rFonts w:ascii="XO Thames" w:hAnsi="XO Thames"/>
      <w:b w:val="1"/>
      <w:caps w:val="1"/>
      <w:sz w:val="40"/>
    </w:rPr>
  </w:style>
  <w:style w:styleId="Style_25" w:type="paragraph">
    <w:name w:val="heading 4"/>
    <w:next w:val="Style_2"/>
    <w:link w:val="Style_25_ch"/>
    <w:uiPriority w:val="9"/>
    <w:qFormat/>
    <w:pPr>
      <w:spacing w:after="120" w:before="120"/>
      <w:ind/>
      <w:jc w:val="both"/>
      <w:outlineLvl w:val="3"/>
    </w:pPr>
    <w:rPr>
      <w:rFonts w:ascii="XO Thames" w:hAnsi="XO Thames"/>
      <w:b w:val="1"/>
      <w:sz w:val="24"/>
    </w:rPr>
  </w:style>
  <w:style w:styleId="Style_25_ch" w:type="character">
    <w:name w:val="heading 4"/>
    <w:link w:val="Style_25"/>
    <w:rPr>
      <w:rFonts w:ascii="XO Thames" w:hAnsi="XO Thames"/>
      <w:b w:val="1"/>
      <w:sz w:val="24"/>
    </w:rPr>
  </w:style>
  <w:style w:styleId="Style_26" w:type="paragraph">
    <w:name w:val="heading 2"/>
    <w:next w:val="Style_2"/>
    <w:link w:val="Style_26_ch"/>
    <w:uiPriority w:val="9"/>
    <w:qFormat/>
    <w:pPr>
      <w:spacing w:after="120" w:before="120"/>
      <w:ind/>
      <w:jc w:val="both"/>
      <w:outlineLvl w:val="1"/>
    </w:pPr>
    <w:rPr>
      <w:rFonts w:ascii="XO Thames" w:hAnsi="XO Thames"/>
      <w:b w:val="1"/>
      <w:sz w:val="28"/>
    </w:rPr>
  </w:style>
  <w:style w:styleId="Style_26_ch" w:type="character">
    <w:name w:val="heading 2"/>
    <w:link w:val="Style_26"/>
    <w:rPr>
      <w:rFonts w:ascii="XO Thames" w:hAnsi="XO Thames"/>
      <w:b w:val="1"/>
      <w:sz w:val="28"/>
    </w:rPr>
  </w:style>
  <w:style w:default="1" w:styleId="Style_27" w:type="table">
    <w:name w:val="Normal Table"/>
    <w:tblPr>
      <w:tblInd w:type="dxa" w:w="0"/>
      <w:tblCellMar>
        <w:top w:type="dxa" w:w="0"/>
        <w:left w:type="dxa" w:w="108"/>
        <w:bottom w:type="dxa" w:w="0"/>
        <w:right w:type="dxa" w:w="108"/>
      </w:tblCellMar>
    </w:tblPr>
  </w:style>
  <w:style w:styleId="Style_28" w:type="table">
    <w:name w:val="Table Grid"/>
    <w:basedOn w:val="Style_27"/>
    <w:pPr>
      <w:spacing w:after="0" w:line="240" w:lineRule="auto"/>
      <w:ind/>
    </w:pPr>
    <w:rPr>
      <w:rFonts w:ascii="Times New Roman" w:hAnsi="Times New Roman"/>
      <w:sz w:val="20"/>
    </w:rPr>
    <w:tblPr>
      <w:tblInd w:type="dxa" w:w="0"/>
      <w:tblBorders>
        <w:top w:color="000000" w:sz="4" w:val="single"/>
        <w:left w:color="000000" w:sz="4" w:val="single"/>
        <w:bottom w:color="000000" w:sz="4" w:val="single"/>
        <w:right w:color="000000" w:sz="4" w:val="single"/>
        <w:insideH w:color="000000" w:sz="4" w:val="single"/>
        <w:insideV w:color="000000" w:sz="4" w:val="single"/>
      </w:tblBorders>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MyOffice-CoreFramework-Linux/32-1208.815.9166.836.1@c028b4579ab889516ede6e689f46f6dad43bf900</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2025-04-29T12:46:18Z</dcterms:modified>
</cp:coreProperties>
</file>