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Начальнику управления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>имущественных отношений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администрации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ind w:left="5812" w:hanging="0"/>
        <w:rPr/>
      </w:pPr>
      <w:r>
        <w:rPr>
          <w:sz w:val="28"/>
          <w:szCs w:val="28"/>
        </w:rPr>
        <w:t>Туапсинский район</w:t>
      </w:r>
    </w:p>
    <w:p>
      <w:pPr>
        <w:pStyle w:val="Normal"/>
        <w:ind w:left="5812" w:hanging="0"/>
        <w:rPr>
          <w:sz w:val="28"/>
          <w:szCs w:val="28"/>
        </w:rPr>
      </w:pPr>
      <w:r>
        <w:rPr/>
      </w:r>
    </w:p>
    <w:p>
      <w:pPr>
        <w:pStyle w:val="Normal"/>
        <w:ind w:left="5812" w:hanging="0"/>
        <w:rPr/>
      </w:pPr>
      <w:r>
        <w:rPr>
          <w:sz w:val="28"/>
          <w:szCs w:val="28"/>
        </w:rPr>
        <w:t xml:space="preserve">Васинской  Е.И.  </w:t>
      </w:r>
    </w:p>
    <w:p>
      <w:pPr>
        <w:pStyle w:val="Normal"/>
        <w:ind w:left="5812" w:hanging="0"/>
        <w:rPr>
          <w:sz w:val="28"/>
          <w:szCs w:val="28"/>
        </w:rPr>
      </w:pPr>
      <w:r>
        <w:rPr/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81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94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экспертизы постановления администрации </w:t>
      </w:r>
    </w:p>
    <w:p>
      <w:pPr>
        <w:pStyle w:val="Normal"/>
        <w:ind w:left="-142" w:hanging="0"/>
        <w:jc w:val="center"/>
        <w:rPr/>
      </w:pPr>
      <w:r>
        <w:rPr>
          <w:b/>
          <w:sz w:val="28"/>
          <w:szCs w:val="28"/>
        </w:rPr>
        <w:t xml:space="preserve">муниципального образования Туапсинский район от 11 марта 2014 г. </w:t>
      </w:r>
    </w:p>
    <w:p>
      <w:pPr>
        <w:pStyle w:val="Normal"/>
        <w:ind w:left="-142" w:hanging="0"/>
        <w:jc w:val="center"/>
        <w:rPr/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606 «Об утверждении Порядка принятия решения о предоставлении 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бюджетных инвестиций юридическим лицам, не являющимся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муниципальными бюджетными и автономными учреждениями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Туапсинского района» </w:t>
      </w:r>
    </w:p>
    <w:p>
      <w:pPr>
        <w:pStyle w:val="Normal"/>
        <w:ind w:left="-142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4"/>
        <w:jc w:val="center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экономического развития администрации муниципального образования Туапсинский район, как уполномоченным органом по проведению  экспертизы муниципальных нормативных правовых актов муниципального образования Туапсинский район (далее - уполномоченный орган), рассмотрено постановление администрации муниципального образования Туапсинский район от 11 марта 2014 г. № 606 «Об утверждении Порядка предоставления бюджетных инвестиций юридическим лицам и об утверждении требований к договору, заключаемому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предприятиями» (далее - муниципальный нормативный правовой акт).</w:t>
      </w:r>
    </w:p>
    <w:p>
      <w:pPr>
        <w:pStyle w:val="NoSpacing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(далее - НПА)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 октября 2015 г. № 2417 (в редакции от 26.11.2021г. № 1926) (далее - Порядок), муниципальный нормативный правовой акт подлежит проведению экспертизы.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уапсин</w:t>
      </w:r>
      <w:r>
        <w:rPr>
          <w:rFonts w:cs="Times New Roman" w:ascii="Times New Roman" w:hAnsi="Times New Roman"/>
          <w:sz w:val="28"/>
          <w:szCs w:val="28"/>
        </w:rPr>
        <w:t>ский район на первое полугодие 2022 г., утвержденным руководителем уполномоченного органа от  1</w:t>
      </w:r>
      <w:r>
        <w:rPr>
          <w:rFonts w:eastAsia="Calibri" w:cs="Times New Roman" w:ascii="Times New Roman" w:hAnsi="Times New Roman"/>
          <w:sz w:val="28"/>
          <w:lang w:eastAsia="zh-CN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lang w:eastAsia="zh-CN"/>
        </w:rPr>
        <w:t>декабря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Calibri" w:cs="Times New Roman" w:ascii="Times New Roman" w:hAnsi="Times New Roman"/>
          <w:sz w:val="28"/>
          <w:lang w:eastAsia="zh-CN"/>
        </w:rPr>
        <w:t>21</w:t>
      </w:r>
      <w:r>
        <w:rPr>
          <w:rFonts w:cs="Times New Roman" w:ascii="Times New Roman" w:hAnsi="Times New Roman"/>
          <w:sz w:val="28"/>
          <w:szCs w:val="28"/>
        </w:rPr>
        <w:t xml:space="preserve"> года.</w:t>
      </w:r>
    </w:p>
    <w:p>
      <w:pPr>
        <w:pStyle w:val="ConsPlusNormal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w:anchor="Par57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 на первое полугодие 2021 г. экспертиза муниципального нормативного правового акта проводилась в срок с 20.01.2022 г. по 20.03.2022 г.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Уполномоченным органом проведены публичные консультации по муниципальному нормативному правовому акту в соответствии с </w:t>
      </w:r>
      <w:hyperlink w:anchor="Par60" w:tgtFrame="Ссылка на текущий документ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пунктом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с 20.01.2022 г. по 20.02.2022 г.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Оценка регулирующего воздействия проекта муниципального нормативного правового акта не проводилась.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Уведомление о проведении публичных консультаций было размещено на официальном сайте администрации муниципального образования 1</w:t>
      </w:r>
      <w:r>
        <w:rPr>
          <w:rFonts w:eastAsia="Calibri" w:cs="Times New Roman" w:ascii="Times New Roman" w:hAnsi="Times New Roman"/>
          <w:sz w:val="28"/>
          <w:szCs w:val="22"/>
          <w:lang w:eastAsia="zh-CN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2"/>
          <w:lang w:eastAsia="zh-CN"/>
        </w:rPr>
        <w:t>декабря</w:t>
      </w:r>
      <w:r>
        <w:rPr>
          <w:rFonts w:cs="Times New Roman" w:ascii="Times New Roman" w:hAnsi="Times New Roman"/>
          <w:sz w:val="28"/>
          <w:szCs w:val="28"/>
        </w:rPr>
        <w:t xml:space="preserve"> Туапсинский район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hyperlink r:id="rId2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www.t</w:t>
        </w:r>
      </w:hyperlink>
      <w:hyperlink r:id="rId3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uapse</w:t>
        </w:r>
      </w:hyperlink>
      <w:hyperlink r:id="rId4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u w:val="none"/>
          </w:rPr>
          <w:t>region.ru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Союза «Туапсинская торгово-промышленная палата».</w:t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pacing w:lineRule="auto" w:line="240" w:before="0" w:after="0"/>
        <w:ind w:firstLine="454"/>
        <w:jc w:val="both"/>
        <w:rPr/>
      </w:pPr>
      <w:r>
        <w:rPr>
          <w:sz w:val="28"/>
          <w:szCs w:val="28"/>
        </w:rPr>
        <w:t xml:space="preserve">Также в рамках публичных консультаций были направлены запросы главам поселений муниципального образования Туапсинский район, руководителям отраслевых (функциональных) органов администрации муниципального образования Туапсинский район.  </w:t>
      </w:r>
    </w:p>
    <w:p>
      <w:pPr>
        <w:pStyle w:val="ConsPlusNonformat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ходе исследования муниципального нормативного правового акта уполномоченный орган запрашивал у управления имущественных отношений администрации муниципального образования Т</w:t>
      </w:r>
      <w:r>
        <w:rPr>
          <w:rFonts w:cs="Times New Roman" w:ascii="Times New Roman" w:hAnsi="Times New Roman"/>
          <w:color w:val="000000"/>
          <w:spacing w:val="8"/>
          <w:sz w:val="28"/>
          <w:szCs w:val="28"/>
        </w:rPr>
        <w:t>уапсин</w:t>
      </w:r>
      <w:r>
        <w:rPr>
          <w:rFonts w:cs="Times New Roman" w:ascii="Times New Roman" w:hAnsi="Times New Roman"/>
          <w:sz w:val="28"/>
          <w:szCs w:val="28"/>
        </w:rPr>
        <w:t>ский район информацию и материалы, необходимые для проведения экспертизы.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Порядок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приобретения основных средств, относимых к недвижимому или особо ценному движимому, увеличению стоимости основных средств, реконструкции, модернизации имеющихся основных средств за счет средств бюджета Туапсинского района устанавливает правила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(далее - Юридические лица) в объекты приобретения основных средств, относимых к недвижимому или особо ценному движимому, увеличению стоимости основных средств, реконструкции, модернизации имеющихся основных средств за счет средств бюджета Туапсинского района.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Решение о предоставлении бюджетных инвестиций принимается в форме договора о предоставлении бюджетных инвестиций администрацией муниципального образования Туапсинский район.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Отбор объектов капитального строительства и объектов приобретения основных средств, относимых к недвижимому или особо ценному движимому, увеличению стоимости основных средств, реконструкции, модернизации имеющихся основных средств приобретению которых необходимо осуществлять бюджетные инвестиции, производится с учетом:</w:t>
      </w:r>
    </w:p>
    <w:p>
      <w:pPr>
        <w:pStyle w:val="ConsPlusNormal"/>
        <w:ind w:firstLine="540"/>
        <w:jc w:val="both"/>
        <w:rPr/>
      </w:pP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отчета о хозяйственной деятельности Юридического лица;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прогноза экономического развития </w:t>
      </w:r>
      <w:r>
        <w:rPr>
          <w:rFonts w:cs="Times New Roman" w:ascii="Times New Roman" w:hAnsi="Times New Roman"/>
          <w:sz w:val="28"/>
          <w:szCs w:val="28"/>
        </w:rPr>
        <w:t>Туапсинский район</w:t>
      </w:r>
      <w:r>
        <w:rPr>
          <w:rFonts w:ascii="Times New Roman" w:hAnsi="Times New Roman"/>
          <w:sz w:val="28"/>
          <w:szCs w:val="28"/>
        </w:rPr>
        <w:t xml:space="preserve"> при получении бюджетных инвестиций;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оценки обоснованности и эффективности использования средств бюджета Туапсинского района, направляемых на капитальные вложения.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 бюджетных инвестиций осуществляется при условии, что</w:t>
      </w:r>
      <w:r>
        <w:rPr>
          <w:rFonts w:cs="Times New Roman" w:ascii="Times New Roman" w:hAnsi="Times New Roman"/>
          <w:sz w:val="28"/>
          <w:szCs w:val="28"/>
        </w:rPr>
        <w:t xml:space="preserve"> эти инвестиции не могут быть направлены юридическим лицом на финансовое обеспечение следующих работ: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приобретение земельных участков под строительство;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проведение проверки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бюджетных инвестиций.</w:t>
      </w:r>
    </w:p>
    <w:p>
      <w:pPr>
        <w:pStyle w:val="23"/>
        <w:shd w:fill="FFFFFF" w:val="clear"/>
        <w:tabs>
          <w:tab w:val="clear" w:pos="720"/>
          <w:tab w:val="left" w:pos="9635" w:leader="none"/>
        </w:tabs>
        <w:spacing w:lineRule="auto" w:line="240" w:before="0" w:after="0"/>
        <w:jc w:val="both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По результатам проведенных публичных консультаций замечаний и предложений от участников не поступало.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исследования в соответствии с пунктом 10 Порядка уполномоченным органом установлено следующее: 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муниципальном нормативном правовом акте отсутствуют избыточные требования по подготовке и (или) представлению документов, сведений, информации.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</w:t>
      </w:r>
      <w:bookmarkStart w:id="0" w:name="_GoBack"/>
      <w:bookmarkEnd w:id="0"/>
      <w:r>
        <w:rPr>
          <w:sz w:val="28"/>
          <w:szCs w:val="28"/>
        </w:rPr>
        <w:t>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</w:p>
    <w:p>
      <w:pPr>
        <w:pStyle w:val="Cons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Туапсинский район установленных функций в отношении субъектов  предпринимательской деятельности не выявлено.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</w:t>
      </w:r>
      <w:r>
        <w:rPr>
          <w:kern w:val="2"/>
          <w:sz w:val="28"/>
          <w:szCs w:val="28"/>
        </w:rPr>
        <w:t>Т</w:t>
      </w:r>
      <w:r>
        <w:rPr>
          <w:rFonts w:eastAsia="Calibri"/>
          <w:kern w:val="2"/>
          <w:sz w:val="28"/>
          <w:szCs w:val="28"/>
        </w:rPr>
        <w:t>уапсин</w:t>
      </w:r>
      <w:r>
        <w:rPr>
          <w:sz w:val="28"/>
          <w:szCs w:val="28"/>
        </w:rPr>
        <w:t xml:space="preserve">ский район при отсутствии адекватного переходного периода введения в действие соответствующих правовых норм не выявлены. </w:t>
      </w:r>
    </w:p>
    <w:p>
      <w:pPr>
        <w:pStyle w:val="Normal"/>
        <w:ind w:hanging="284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6. Источник официального опубликования нормативного правового акта с вносимыми в него изменениями, размещается на официальном сайте администрации муниципального образования Туапсинский район,                           </w:t>
      </w:r>
      <w:hyperlink r:id="rId5">
        <w:r>
          <w:rPr>
            <w:rStyle w:val="Style13"/>
            <w:sz w:val="28"/>
            <w:szCs w:val="28"/>
          </w:rPr>
          <w:t>https://tuapseregion.ru/</w:t>
        </w:r>
      </w:hyperlink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Орган местного самоуправления, издавший муниципальный нормативный правовой акт – администрация муниципального образования  Туапсинский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Отраслевой орган администрации муниципального образования Туапсинский район, являющийся инициатором издания муниципального нормативного правового акта – управление </w:t>
      </w:r>
      <w:r>
        <w:rPr>
          <w:color w:val="000000"/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 администрации муниципального образования Туапсинский район.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В соответствии с Порядком проект настоящего заключения о проведении экспертизы муниципального нормативного правового акта направлялся в  управление </w:t>
      </w:r>
      <w:bookmarkStart w:id="1" w:name="__DdeLink__1702_434523588"/>
      <w:r>
        <w:rPr>
          <w:sz w:val="28"/>
          <w:szCs w:val="28"/>
        </w:rPr>
        <w:t>имущественных отношений</w:t>
      </w:r>
      <w:bookmarkEnd w:id="1"/>
      <w:r>
        <w:rPr>
          <w:sz w:val="28"/>
          <w:szCs w:val="28"/>
        </w:rPr>
        <w:t xml:space="preserve"> администрации муниципального образования Туапсинский район. Возражения не поступали. 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Настоящее заключение направлено в управление имущественных отношений администрации муниципального образования Туапсинский район, разработавшее муниципальный нормативный правовой акт.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соответствии с пунктом  13 Порядка  управление имущественных отношений администрации муниципального образования Туапсинский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>Исполняющий обязанности начальника</w:t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 xml:space="preserve">управления экономического развития </w:t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left="-284" w:firstLine="284"/>
        <w:jc w:val="both"/>
        <w:rPr/>
      </w:pPr>
      <w:r>
        <w:rPr>
          <w:sz w:val="28"/>
          <w:szCs w:val="28"/>
        </w:rPr>
        <w:t>образования Туапсинский район                                                                 А.В. Крят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701" w:right="567" w:header="567" w:top="1134" w:footer="567" w:bottom="1134" w:gutter="0"/>
      <w:pgNumType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hd w:val="clear" w:color="auto" w:fill="FFFFFF"/>
      <w:spacing w:lineRule="exact" w:line="302"/>
      <w:ind w:left="1094" w:hanging="0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Normal"/>
    <w:next w:val="Normal"/>
    <w:qFormat/>
    <w:pPr>
      <w:keepNext w:val="true"/>
      <w:shd w:val="clear" w:color="auto" w:fill="FFFFFF"/>
      <w:spacing w:lineRule="exact" w:line="302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_"/>
    <w:basedOn w:val="DefaultParagraphFont"/>
    <w:qFormat/>
    <w:rPr>
      <w:spacing w:val="5"/>
      <w:sz w:val="25"/>
      <w:szCs w:val="25"/>
      <w:highlight w:val="white"/>
    </w:rPr>
  </w:style>
  <w:style w:type="character" w:styleId="Style13" w:customStyle="1">
    <w:name w:val="Интернет-ссылка"/>
    <w:basedOn w:val="DefaultParagraphFont"/>
    <w:rPr>
      <w:color w:val="0066CC"/>
      <w:u w:val="single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21" w:customStyle="1">
    <w:name w:val="Основной текст (2)_"/>
    <w:basedOn w:val="DefaultParagraphFont"/>
    <w:qFormat/>
    <w:rPr>
      <w:sz w:val="28"/>
      <w:szCs w:val="28"/>
      <w:highlight w:val="white"/>
    </w:rPr>
  </w:style>
  <w:style w:type="character" w:styleId="22" w:customStyle="1">
    <w:name w:val="Основной текст (2) + Курсив"/>
    <w:basedOn w:val="2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styleId="Style16" w:customStyle="1">
    <w:name w:val="Основной текст с отступом Знак"/>
    <w:basedOn w:val="DefaultParagraphFont"/>
    <w:qFormat/>
    <w:rPr/>
  </w:style>
  <w:style w:type="character" w:styleId="S10" w:customStyle="1">
    <w:name w:val="s_10"/>
    <w:basedOn w:val="DefaultParagraphFont"/>
    <w:qFormat/>
    <w:rPr/>
  </w:style>
  <w:style w:type="character" w:styleId="11" w:customStyle="1">
    <w:name w:val="Заголовок 1 Знак"/>
    <w:basedOn w:val="DefaultParagraphFont"/>
    <w:qFormat/>
    <w:rPr>
      <w:color w:val="000000"/>
      <w:spacing w:val="-4"/>
      <w:sz w:val="28"/>
      <w:szCs w:val="26"/>
      <w:highlight w:val="whit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widowControl/>
      <w:jc w:val="center"/>
    </w:pPr>
    <w:rPr>
      <w:b/>
      <w:bCs/>
      <w:caps/>
      <w:sz w:val="28"/>
      <w:szCs w:val="24"/>
    </w:rPr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"/>
    <w:basedOn w:val="Normal"/>
    <w:qFormat/>
    <w:pPr>
      <w:widowControl/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Основной текст1"/>
    <w:basedOn w:val="Normal"/>
    <w:qFormat/>
    <w:pPr>
      <w:shd w:val="clear" w:color="auto" w:fill="FFFFFF"/>
      <w:spacing w:lineRule="exact" w:line="266"/>
      <w:jc w:val="center"/>
    </w:pPr>
    <w:rPr>
      <w:spacing w:val="5"/>
      <w:sz w:val="25"/>
      <w:szCs w:val="25"/>
    </w:rPr>
  </w:style>
  <w:style w:type="paragraph" w:styleId="23" w:customStyle="1">
    <w:name w:val="Основной текст2"/>
    <w:basedOn w:val="Normal"/>
    <w:qFormat/>
    <w:pPr>
      <w:shd w:val="clear" w:color="auto" w:fill="FFFFFF"/>
      <w:spacing w:lineRule="exact" w:line="317" w:before="0" w:after="1560"/>
    </w:pPr>
    <w:rPr>
      <w:color w:val="000000"/>
      <w:spacing w:val="8"/>
      <w:sz w:val="24"/>
      <w:szCs w:val="24"/>
    </w:rPr>
  </w:style>
  <w:style w:type="paragraph" w:styleId="NoSpacing">
    <w:name w:val="No Spacing"/>
    <w:qFormat/>
    <w:pPr>
      <w:widowControl/>
      <w:overflowPunct w:val="true"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ConsPlusNormal" w:customStyle="1">
    <w:name w:val="ConsPlusNormal"/>
    <w:qFormat/>
    <w:pPr>
      <w:widowControl w:val="false"/>
      <w:overflowPunct w:val="true"/>
      <w:bidi w:val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overflowPunct w:val="tru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overflowPunct w:val="true"/>
      <w:bidi w:val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4" w:customStyle="1">
    <w:name w:val="Основной текст (2)"/>
    <w:basedOn w:val="Normal"/>
    <w:qFormat/>
    <w:pPr>
      <w:shd w:val="clear" w:color="auto" w:fill="FFFFFF"/>
      <w:spacing w:lineRule="exact" w:line="317" w:before="0" w:after="300"/>
    </w:pPr>
    <w:rPr>
      <w:sz w:val="28"/>
      <w:szCs w:val="2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1" w:customStyle="1">
    <w:name w:val="s_1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Default" w:customStyle="1">
    <w:name w:val="Default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imregion.ru/" TargetMode="External"/><Relationship Id="rId3" Type="http://schemas.openxmlformats.org/officeDocument/2006/relationships/hyperlink" Target="http://www.timregion.ru/" TargetMode="External"/><Relationship Id="rId4" Type="http://schemas.openxmlformats.org/officeDocument/2006/relationships/hyperlink" Target="http://www.timregion.ru/" TargetMode="External"/><Relationship Id="rId5" Type="http://schemas.openxmlformats.org/officeDocument/2006/relationships/hyperlink" Target="https://tuapseregion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LibreOffice/6.3.0.4$Linux_X86_64 LibreOffice_project/057fc023c990d676a43019934386b85b21a9ee99</Application>
  <Pages>4</Pages>
  <Words>1024</Words>
  <Characters>8496</Characters>
  <CharactersWithSpaces>9706</CharactersWithSpaces>
  <Paragraphs>55</Paragraphs>
  <Company>ДИО КК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2021-12-17T13:13:00Z</dcterms:created>
  <dc:creator>Зинович Виктор</dc:creator>
  <dc:description/>
  <dc:language>ru-RU</dc:language>
  <cp:lastModifiedBy/>
  <cp:lastPrinted>2020-04-27T06:38:00Z</cp:lastPrinted>
  <dcterms:modified xsi:type="dcterms:W3CDTF">2022-04-01T08:58:17Z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