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3000000">
      <w:pPr>
        <w:spacing w:line="240" w:lineRule="auto"/>
        <w:ind/>
        <w:jc w:val="center"/>
        <w:rPr>
          <w:rFonts w:ascii="Times New Roman" w:hAnsi="Times New Roman"/>
          <w:b w:val="1"/>
          <w:sz w:val="20"/>
        </w:rPr>
      </w:pPr>
    </w:p>
    <w:p w14:paraId="04000000">
      <w:pPr>
        <w:spacing w:line="240" w:lineRule="auto"/>
        <w:ind/>
        <w:jc w:val="center"/>
        <w:rPr>
          <w:rFonts w:ascii="Times New Roman" w:hAnsi="Times New Roman"/>
          <w:b w:val="1"/>
          <w:sz w:val="20"/>
        </w:rPr>
      </w:pPr>
    </w:p>
    <w:p w14:paraId="05000000">
      <w:pPr>
        <w:spacing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Информация</w:t>
      </w:r>
    </w:p>
    <w:p w14:paraId="06000000">
      <w:pPr>
        <w:spacing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о проведенном мониторинге коррупционных рисков</w:t>
      </w:r>
    </w:p>
    <w:p w14:paraId="07000000">
      <w:pPr>
        <w:spacing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в </w:t>
      </w:r>
      <w:r>
        <w:rPr>
          <w:rFonts w:ascii="Times New Roman" w:hAnsi="Times New Roman"/>
          <w:b w:val="1"/>
          <w:sz w:val="28"/>
        </w:rPr>
        <w:t>администрации Туапсинского муниципального округа</w:t>
      </w:r>
    </w:p>
    <w:p w14:paraId="08000000">
      <w:pPr>
        <w:spacing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для определения перечня должностей, в наибольшей степени</w:t>
      </w:r>
    </w:p>
    <w:p w14:paraId="09000000">
      <w:pPr>
        <w:spacing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подверженных риску коррупции за 2025 год</w:t>
      </w:r>
    </w:p>
    <w:p w14:paraId="0A000000">
      <w:pPr>
        <w:spacing w:line="240" w:lineRule="auto"/>
        <w:ind/>
        <w:jc w:val="both"/>
        <w:rPr>
          <w:rFonts w:ascii="Times New Roman" w:hAnsi="Times New Roman"/>
          <w:sz w:val="20"/>
        </w:rPr>
      </w:pPr>
    </w:p>
    <w:p w14:paraId="0B000000">
      <w:pPr>
        <w:spacing w:line="240" w:lineRule="auto"/>
        <w:ind/>
        <w:jc w:val="both"/>
        <w:rPr>
          <w:rFonts w:ascii="Times New Roman" w:hAnsi="Times New Roman"/>
          <w:sz w:val="20"/>
        </w:rPr>
      </w:pPr>
    </w:p>
    <w:p w14:paraId="0C000000">
      <w:pPr>
        <w:spacing w:line="240" w:lineRule="auto"/>
        <w:ind/>
        <w:jc w:val="both"/>
        <w:rPr>
          <w:rFonts w:ascii="Times New Roman" w:hAnsi="Times New Roman"/>
          <w:sz w:val="20"/>
        </w:rPr>
      </w:pPr>
    </w:p>
    <w:p w14:paraId="0D000000">
      <w:pPr>
        <w:spacing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соответствии с постановлением администрации муниципального образования Туапсинский район от 15 апреля 2013 года № 1164 «Об утверждении методики мониторинга коррупционных рисков в администрации муниципального образования Туапсинский район для определения перечня должностей, в наибольшей степени подверженных риску коррупции» в целях определения сфер муниципального управления и перечня должностей муниципальной службы, в наибольшей степени подверженных риску коррупции, дважды в год проводится мониторинг коррупционных рисков.</w:t>
      </w:r>
    </w:p>
    <w:p w14:paraId="0E000000">
      <w:pPr>
        <w:spacing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Мониторинг коррупционных рисков проводится на основании данных, полученных по результатам:</w:t>
      </w:r>
    </w:p>
    <w:p w14:paraId="0F000000">
      <w:pPr>
        <w:spacing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1) экспертизы жалоб и обращений граждан на наличие сведений о фактах коррупции в администрации Туапсинского муниципального округа;</w:t>
      </w:r>
    </w:p>
    <w:p w14:paraId="10000000">
      <w:pPr>
        <w:spacing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2) данных анализа материалов, размещенных в средствах массовой информации, о фактах коррупции в администрации </w:t>
      </w:r>
      <w:r>
        <w:rPr>
          <w:rFonts w:ascii="Times New Roman" w:hAnsi="Times New Roman"/>
          <w:sz w:val="28"/>
        </w:rPr>
        <w:t>Туапсинского муниципального округа</w:t>
      </w:r>
      <w:r>
        <w:rPr>
          <w:rFonts w:ascii="Times New Roman" w:hAnsi="Times New Roman"/>
          <w:sz w:val="28"/>
        </w:rPr>
        <w:t>;</w:t>
      </w:r>
    </w:p>
    <w:p w14:paraId="11000000">
      <w:pPr>
        <w:spacing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3) результатов проведенной работы по выявлению случаев возникновения конфликта интересов, одной из сторон которого являются лица, замещающие должности муниципальной службы в администрации </w:t>
      </w:r>
      <w:r>
        <w:rPr>
          <w:rFonts w:ascii="Times New Roman" w:hAnsi="Times New Roman"/>
          <w:sz w:val="28"/>
        </w:rPr>
        <w:t>Туапсинского муниципального округа</w:t>
      </w:r>
      <w:r>
        <w:rPr>
          <w:rFonts w:ascii="Times New Roman" w:hAnsi="Times New Roman"/>
          <w:sz w:val="28"/>
        </w:rPr>
        <w:t xml:space="preserve"> и принятых мерах по их предотвращению;</w:t>
      </w:r>
    </w:p>
    <w:p w14:paraId="12000000">
      <w:pPr>
        <w:spacing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4) итогов рассмотрения вопросов правоприменительной практики, по результатам вступивших в законную силу решений судов, арбитражных судов о признании недействующими (недействительными) правовых актов, незаконными решений и действий (бездействия) администрации </w:t>
      </w:r>
      <w:r>
        <w:rPr>
          <w:rFonts w:ascii="Times New Roman" w:hAnsi="Times New Roman"/>
          <w:sz w:val="28"/>
        </w:rPr>
        <w:t>Туапсинского муниципального округа</w:t>
      </w:r>
      <w:r>
        <w:rPr>
          <w:rFonts w:ascii="Times New Roman" w:hAnsi="Times New Roman"/>
          <w:sz w:val="28"/>
        </w:rPr>
        <w:t>, подведомственных учреждений (организаций) и их должностных лиц, и принятых мер;</w:t>
      </w:r>
    </w:p>
    <w:p w14:paraId="13000000">
      <w:pPr>
        <w:spacing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5) итогов мониторинга восприятия уровня коррупции в администрации </w:t>
      </w:r>
      <w:r>
        <w:rPr>
          <w:rFonts w:ascii="Times New Roman" w:hAnsi="Times New Roman"/>
          <w:sz w:val="28"/>
        </w:rPr>
        <w:t xml:space="preserve">Туапсинского муниципального округа, на основании информации предоставляемой структурными подразделениями </w:t>
      </w:r>
      <w:r>
        <w:rPr>
          <w:rFonts w:ascii="Times New Roman" w:hAnsi="Times New Roman"/>
          <w:sz w:val="28"/>
        </w:rPr>
        <w:t xml:space="preserve">администрации Туапсинского муниципального округа </w:t>
      </w:r>
      <w:r>
        <w:rPr>
          <w:rFonts w:ascii="Times New Roman" w:hAnsi="Times New Roman"/>
          <w:sz w:val="28"/>
        </w:rPr>
        <w:t xml:space="preserve">о выполнении Плана мероприятий по противодействию коррупции в </w:t>
      </w:r>
      <w:r>
        <w:rPr>
          <w:rFonts w:ascii="Times New Roman" w:hAnsi="Times New Roman"/>
          <w:sz w:val="28"/>
        </w:rPr>
        <w:t xml:space="preserve">администрации Туапсинского муниципального округа в отчетном периоде, </w:t>
      </w:r>
      <w:r>
        <w:rPr>
          <w:rFonts w:ascii="Times New Roman" w:hAnsi="Times New Roman"/>
          <w:sz w:val="28"/>
        </w:rPr>
        <w:t xml:space="preserve">единственное структурное подразделение, которое </w:t>
      </w:r>
      <w:r>
        <w:rPr>
          <w:rFonts w:ascii="Times New Roman" w:hAnsi="Times New Roman"/>
          <w:sz w:val="28"/>
        </w:rPr>
        <w:t>не предоставило информацию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за 2 квартал 2025 года - отдел учета и отчетности </w:t>
      </w:r>
      <w:r>
        <w:rPr>
          <w:rFonts w:ascii="Times New Roman" w:hAnsi="Times New Roman"/>
          <w:sz w:val="28"/>
        </w:rPr>
        <w:t>администрации Туапсинского муниципального округа</w:t>
      </w:r>
      <w:r>
        <w:rPr>
          <w:rFonts w:ascii="Times New Roman" w:hAnsi="Times New Roman"/>
          <w:sz w:val="28"/>
        </w:rPr>
        <w:t>;</w:t>
      </w:r>
    </w:p>
    <w:p w14:paraId="14000000">
      <w:pPr>
        <w:spacing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6) данных антикоррупционной экспертизы нормативных правовых актов администрации </w:t>
      </w:r>
      <w:r>
        <w:rPr>
          <w:rFonts w:ascii="Times New Roman" w:hAnsi="Times New Roman"/>
          <w:sz w:val="28"/>
        </w:rPr>
        <w:t>Туапсинского муниципального округа</w:t>
      </w:r>
      <w:r>
        <w:rPr>
          <w:rFonts w:ascii="Times New Roman" w:hAnsi="Times New Roman"/>
          <w:sz w:val="28"/>
        </w:rPr>
        <w:t xml:space="preserve"> и их проектов за отчетный период.</w:t>
      </w:r>
    </w:p>
    <w:p w14:paraId="15000000">
      <w:pPr>
        <w:spacing w:line="240" w:lineRule="auto"/>
        <w:ind/>
        <w:jc w:val="both"/>
        <w:rPr>
          <w:rFonts w:ascii="Times New Roman" w:hAnsi="Times New Roman"/>
          <w:sz w:val="20"/>
        </w:rPr>
      </w:pPr>
    </w:p>
    <w:p w14:paraId="16000000">
      <w:pPr>
        <w:spacing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Независимая экспертиза нормативных правовых актов</w:t>
      </w:r>
    </w:p>
    <w:p w14:paraId="17000000">
      <w:pPr>
        <w:spacing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(проектов) органов местного самоуправления Туапсинского муниципального округа на коррупциогенность</w:t>
      </w:r>
    </w:p>
    <w:p w14:paraId="18000000">
      <w:pPr>
        <w:spacing w:line="240" w:lineRule="auto"/>
        <w:ind/>
        <w:jc w:val="both"/>
        <w:rPr>
          <w:rFonts w:ascii="Times New Roman" w:hAnsi="Times New Roman"/>
          <w:sz w:val="20"/>
        </w:rPr>
      </w:pPr>
    </w:p>
    <w:p w14:paraId="19000000">
      <w:pPr>
        <w:spacing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соответствии с постановлением администрации муниципального образования Туапсинский район от 16 сентября 2020 года № 1460 «О проведении антикоррупционной экспертизы муниципальных правовых актов и проектов муниципальных правовых актов </w:t>
      </w:r>
      <w:r>
        <w:rPr>
          <w:rFonts w:ascii="Times New Roman" w:hAnsi="Times New Roman"/>
          <w:sz w:val="28"/>
        </w:rPr>
        <w:t>муниципального образования</w:t>
      </w:r>
      <w:r>
        <w:rPr>
          <w:rFonts w:ascii="Times New Roman" w:hAnsi="Times New Roman"/>
          <w:sz w:val="28"/>
        </w:rPr>
        <w:t xml:space="preserve"> Туапсинский район» на официальном сайте администрации Туапсинского муниципального округа в информационно-телекоммуникационной сети Интернет в 2025 году размещено </w:t>
      </w:r>
      <w:r>
        <w:rPr>
          <w:rFonts w:ascii="Times New Roman" w:hAnsi="Times New Roman"/>
          <w:sz w:val="28"/>
        </w:rPr>
        <w:t>311</w:t>
      </w:r>
      <w:r>
        <w:rPr>
          <w:rFonts w:ascii="Times New Roman" w:hAnsi="Times New Roman"/>
          <w:sz w:val="28"/>
        </w:rPr>
        <w:t xml:space="preserve"> муниципальных правовых актов и проектов НПА с указанием дат начала и окончания приема заключений для проведения независимой антикоррупционной экспертизы.</w:t>
      </w:r>
    </w:p>
    <w:p w14:paraId="1A000000">
      <w:pPr>
        <w:spacing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Все проекты нормативных правовых актов направлялись в органы прокуратуры для проведения антикоррупционной экспертизы.</w:t>
      </w:r>
    </w:p>
    <w:p w14:paraId="1B000000">
      <w:pPr>
        <w:spacing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2025 году заключений (замечаний) на наличие коррупциогенных фактов в проектах нормативных правовых актов не обнаружено.</w:t>
      </w:r>
    </w:p>
    <w:p w14:paraId="1C000000">
      <w:pPr>
        <w:spacing w:line="240" w:lineRule="auto"/>
        <w:ind/>
        <w:jc w:val="both"/>
        <w:rPr>
          <w:rFonts w:ascii="Times New Roman" w:hAnsi="Times New Roman"/>
          <w:sz w:val="20"/>
        </w:rPr>
      </w:pPr>
    </w:p>
    <w:p w14:paraId="1D000000">
      <w:pPr>
        <w:spacing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Независимая экспертиза нормативных правовых актов </w:t>
      </w:r>
      <w:r>
        <w:rPr>
          <w:rFonts w:ascii="Times New Roman" w:hAnsi="Times New Roman"/>
          <w:b w:val="1"/>
          <w:sz w:val="28"/>
        </w:rPr>
        <w:t xml:space="preserve">органов </w:t>
      </w:r>
      <w:r>
        <w:rPr>
          <w:rFonts w:ascii="Times New Roman" w:hAnsi="Times New Roman"/>
          <w:b w:val="1"/>
          <w:sz w:val="28"/>
        </w:rPr>
        <w:t>местного</w:t>
      </w:r>
    </w:p>
    <w:p w14:paraId="1E000000">
      <w:pPr>
        <w:spacing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 самоуправления Туапсинского муниципального округа </w:t>
      </w:r>
      <w:r>
        <w:rPr>
          <w:rFonts w:ascii="Times New Roman" w:hAnsi="Times New Roman"/>
          <w:b w:val="1"/>
          <w:sz w:val="28"/>
        </w:rPr>
        <w:t>на коррупциогенность</w:t>
      </w:r>
    </w:p>
    <w:p w14:paraId="1F000000">
      <w:pPr>
        <w:spacing w:line="240" w:lineRule="auto"/>
        <w:ind/>
        <w:jc w:val="both"/>
        <w:rPr>
          <w:rFonts w:ascii="Times New Roman" w:hAnsi="Times New Roman"/>
          <w:sz w:val="20"/>
        </w:rPr>
      </w:pPr>
    </w:p>
    <w:p w14:paraId="20000000">
      <w:pPr>
        <w:spacing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соответствии с пунктом 3 статьи 76 Устава муниципального образования Туапсинский муниципальный округ Краснодарского края, муниципальные нормативные правовые акты, затрагивающие права, свободы и обязанности человека и гражданина, вступают в силу после их официального обнародования.</w:t>
      </w:r>
    </w:p>
    <w:p w14:paraId="21000000">
      <w:pPr>
        <w:spacing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Органы местного самоуправления, их должностные лица обязаны обеспечить каждому гражданину, проживающему на территории Туапсинского муниципального округа возможность ознакомления с муниципальными правовыми актами, затрагивающими права, свободы и обязанности человека и гражданина, получения полной и достоверной информации о деятельности органов местного самоуправления и их должностных лиц. Официальным опубликованием нормативного правового акта является первая его публикация в печатном средстве массовой информации.</w:t>
      </w:r>
    </w:p>
    <w:p w14:paraId="22000000">
      <w:pPr>
        <w:spacing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Нормативные правовые акты публикуются в муниципальных СМИ - газете (сетевом издании) «Туапсинские вести».</w:t>
      </w:r>
    </w:p>
    <w:p w14:paraId="23000000">
      <w:pPr>
        <w:spacing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2025 году независимой экспертизы нормативных правовых актов органов местного самоуправления Туапсинского муниципального округа на коррупциогенность не проводилось.</w:t>
      </w:r>
    </w:p>
    <w:p w14:paraId="24000000">
      <w:pPr>
        <w:spacing w:line="240" w:lineRule="auto"/>
        <w:ind/>
        <w:jc w:val="both"/>
        <w:rPr>
          <w:rFonts w:ascii="Times New Roman" w:hAnsi="Times New Roman"/>
          <w:sz w:val="20"/>
        </w:rPr>
      </w:pPr>
    </w:p>
    <w:p w14:paraId="25000000">
      <w:pPr>
        <w:spacing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Общественная экспертиза социально - значимых решений органов местного самоуправления Туапсинского муниципального округа</w:t>
      </w:r>
    </w:p>
    <w:p w14:paraId="26000000">
      <w:pPr>
        <w:spacing w:line="240" w:lineRule="auto"/>
        <w:ind/>
        <w:jc w:val="both"/>
        <w:rPr>
          <w:rFonts w:ascii="Times New Roman" w:hAnsi="Times New Roman"/>
          <w:sz w:val="20"/>
        </w:rPr>
      </w:pPr>
    </w:p>
    <w:p w14:paraId="27000000">
      <w:pPr>
        <w:spacing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муниципальном образовании Туапсинский муниципальный округ Краснодарского края действует Совет Общественной палаты муниципального образования </w:t>
      </w:r>
      <w:r>
        <w:rPr>
          <w:rFonts w:ascii="Times New Roman" w:hAnsi="Times New Roman"/>
          <w:sz w:val="28"/>
        </w:rPr>
        <w:t>Туапсинский муниципальный округ Краснодарского края</w:t>
      </w:r>
      <w:r>
        <w:rPr>
          <w:rFonts w:ascii="Times New Roman" w:hAnsi="Times New Roman"/>
          <w:sz w:val="28"/>
        </w:rPr>
        <w:t>.</w:t>
      </w:r>
    </w:p>
    <w:p w14:paraId="28000000">
      <w:pPr>
        <w:spacing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2025 году заключений по результатам общественной экспертизы социально-значимых решений органов местного самоуправления Туапсинского муниципального округа не поступало.</w:t>
      </w:r>
    </w:p>
    <w:p w14:paraId="29000000">
      <w:pPr>
        <w:spacing w:line="240" w:lineRule="auto"/>
        <w:ind/>
        <w:jc w:val="both"/>
        <w:rPr>
          <w:rFonts w:ascii="Times New Roman" w:hAnsi="Times New Roman"/>
          <w:sz w:val="20"/>
        </w:rPr>
      </w:pPr>
    </w:p>
    <w:p w14:paraId="2A000000">
      <w:pPr>
        <w:spacing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Экспертиза жалоб и обращений граждан по телефону «горячей линии»,</w:t>
      </w:r>
    </w:p>
    <w:p w14:paraId="2B000000">
      <w:pPr>
        <w:spacing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а также на официальном сайте администрации Туапсинского муниципального округа </w:t>
      </w:r>
      <w:r>
        <w:rPr>
          <w:rFonts w:ascii="Times New Roman" w:hAnsi="Times New Roman"/>
          <w:b w:val="1"/>
          <w:sz w:val="28"/>
        </w:rPr>
        <w:t>на наличие сведений о фактах коррупции</w:t>
      </w:r>
    </w:p>
    <w:p w14:paraId="2C000000">
      <w:pPr>
        <w:spacing w:line="240" w:lineRule="auto"/>
        <w:ind/>
        <w:jc w:val="both"/>
        <w:rPr>
          <w:rFonts w:ascii="Times New Roman" w:hAnsi="Times New Roman"/>
          <w:sz w:val="20"/>
        </w:rPr>
      </w:pPr>
    </w:p>
    <w:p w14:paraId="2D000000">
      <w:pPr>
        <w:spacing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целях предотвращения коррупционных рисков при работе с входящей корреспонденцией, поступающей от физических и юридических лиц, осуществляется контроль за соблюдением федерального законодательства (Федеральные законы от 2 мая 2006 г. № 59-ФЗ «О порядке рассмотрения обращений граждан РФ», от 25.12.2008 № 273-ФЗ «О противодействии коррупции» и постановления администрации </w:t>
      </w:r>
      <w:r>
        <w:rPr>
          <w:rFonts w:ascii="Times New Roman" w:hAnsi="Times New Roman"/>
          <w:sz w:val="28"/>
        </w:rPr>
        <w:t>муниципального образования</w:t>
      </w:r>
      <w:r>
        <w:rPr>
          <w:rFonts w:ascii="Times New Roman" w:hAnsi="Times New Roman"/>
          <w:sz w:val="28"/>
        </w:rPr>
        <w:t xml:space="preserve"> Туапсинский район № 1972 от 06 декабря 2021 г. «Об утверждении Порядка организации работы телефона «горячей линии» администрации муниципального образования Туапсинский район по вопросам противодействия коррупции»).</w:t>
      </w:r>
    </w:p>
    <w:p w14:paraId="2E000000">
      <w:pPr>
        <w:spacing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2025 году на телефон «горячей линии», а также на официальный сайт администрации Туапсинского муниципального округа обращений не поступало. Сведений о коррупционных фактах или иных правонарушениях, совершенных муниципальными служащими, а также информации о фактах коррупции в иных сферах деятельности не поступало.</w:t>
      </w:r>
    </w:p>
    <w:p w14:paraId="2F000000">
      <w:pPr>
        <w:spacing w:line="240" w:lineRule="auto"/>
        <w:ind/>
        <w:jc w:val="both"/>
        <w:rPr>
          <w:rFonts w:ascii="Times New Roman" w:hAnsi="Times New Roman"/>
          <w:sz w:val="20"/>
        </w:rPr>
      </w:pPr>
    </w:p>
    <w:p w14:paraId="30000000">
      <w:pPr>
        <w:spacing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Мониторинг восприятия уровня коррупции</w:t>
      </w:r>
    </w:p>
    <w:p w14:paraId="31000000">
      <w:pPr>
        <w:spacing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в Туапсинском муниципальном округе</w:t>
      </w:r>
    </w:p>
    <w:p w14:paraId="32000000">
      <w:pPr>
        <w:spacing w:line="240" w:lineRule="auto"/>
        <w:ind/>
        <w:jc w:val="both"/>
        <w:rPr>
          <w:rFonts w:ascii="Times New Roman" w:hAnsi="Times New Roman"/>
          <w:sz w:val="20"/>
        </w:rPr>
      </w:pPr>
    </w:p>
    <w:p w14:paraId="33000000">
      <w:pPr>
        <w:spacing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соответствии с постановлением администрации муниципального образования Туапсинский район от 24 июля 2014 года № 2070 «Об утверждении методики мониторинга восприятия уровня коррупции в администрации муниципального образования Туапсинский район» один раз в полугодие, в администрации Туапсинского муниципального округа проводится мониторинг восприятия уровня коррупции.</w:t>
      </w:r>
    </w:p>
    <w:p w14:paraId="34000000">
      <w:pPr>
        <w:spacing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целях мониторинга восприятия уровня коррупции производится социологическое исследование. По его результатам составляется отчет о проведении социологического исследования восприятия уровня коррупции в администрации Туапсинского муниципального округа со стороны общества и бизнеса.</w:t>
      </w:r>
    </w:p>
    <w:p w14:paraId="35000000">
      <w:pPr>
        <w:spacing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2025 году социологическое исследование на территории </w:t>
      </w:r>
      <w:r>
        <w:rPr>
          <w:rFonts w:ascii="Times New Roman" w:hAnsi="Times New Roman"/>
          <w:sz w:val="28"/>
        </w:rPr>
        <w:t>Туапсинского муниципального округа</w:t>
      </w:r>
      <w:r>
        <w:rPr>
          <w:rFonts w:ascii="Times New Roman" w:hAnsi="Times New Roman"/>
          <w:sz w:val="28"/>
        </w:rPr>
        <w:t xml:space="preserve"> не проводилось.</w:t>
      </w:r>
    </w:p>
    <w:p w14:paraId="36000000">
      <w:pPr>
        <w:spacing w:line="240" w:lineRule="auto"/>
        <w:ind/>
        <w:jc w:val="both"/>
        <w:rPr>
          <w:rFonts w:ascii="Times New Roman" w:hAnsi="Times New Roman"/>
          <w:sz w:val="20"/>
        </w:rPr>
      </w:pPr>
    </w:p>
    <w:p w14:paraId="37000000">
      <w:pPr>
        <w:spacing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Статистические наблюдения за уровнем регистрируемых</w:t>
      </w:r>
    </w:p>
    <w:p w14:paraId="38000000">
      <w:pPr>
        <w:spacing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коррупционных правонарушений</w:t>
      </w:r>
    </w:p>
    <w:p w14:paraId="39000000">
      <w:pPr>
        <w:spacing w:line="240" w:lineRule="auto"/>
        <w:ind/>
        <w:jc w:val="both"/>
        <w:rPr>
          <w:rFonts w:ascii="Times New Roman" w:hAnsi="Times New Roman"/>
          <w:sz w:val="20"/>
        </w:rPr>
      </w:pPr>
    </w:p>
    <w:p w14:paraId="3A000000">
      <w:pPr>
        <w:spacing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Согласно данным правоохранительных органов в 2025 году на территории Туапсинского муниципального округа правоохранительными органами зарегистрировано </w:t>
      </w:r>
      <w:r>
        <w:rPr>
          <w:rFonts w:ascii="Times New Roman" w:hAnsi="Times New Roman"/>
          <w:sz w:val="28"/>
        </w:rPr>
        <w:t>4 (АППГ 3)</w:t>
      </w:r>
      <w:r>
        <w:rPr>
          <w:rFonts w:ascii="Times New Roman" w:hAnsi="Times New Roman"/>
          <w:sz w:val="28"/>
        </w:rPr>
        <w:t xml:space="preserve"> преступлений коррупционной направленности по статьям 290 УК РФ «Получение взятки», 291 УК РФ «Дача взятки».</w:t>
      </w:r>
    </w:p>
    <w:p w14:paraId="3B000000">
      <w:pPr>
        <w:spacing w:line="240" w:lineRule="auto"/>
        <w:ind/>
        <w:jc w:val="both"/>
        <w:rPr>
          <w:rFonts w:ascii="Times New Roman" w:hAnsi="Times New Roman"/>
          <w:sz w:val="20"/>
        </w:rPr>
      </w:pPr>
    </w:p>
    <w:p w14:paraId="3C000000">
      <w:pPr>
        <w:spacing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Перечень</w:t>
      </w:r>
    </w:p>
    <w:p w14:paraId="3D000000">
      <w:pPr>
        <w:spacing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наиболее коррупционно опасных сфер деятельности</w:t>
      </w:r>
    </w:p>
    <w:p w14:paraId="3E000000">
      <w:pPr>
        <w:spacing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в администрации Туапсинского муниципального округа</w:t>
      </w:r>
    </w:p>
    <w:p w14:paraId="3F000000">
      <w:pPr>
        <w:spacing w:line="240" w:lineRule="auto"/>
        <w:ind/>
        <w:jc w:val="both"/>
        <w:rPr>
          <w:rFonts w:ascii="Times New Roman" w:hAnsi="Times New Roman"/>
          <w:sz w:val="20"/>
        </w:rPr>
      </w:pPr>
    </w:p>
    <w:p w14:paraId="40000000">
      <w:pPr>
        <w:spacing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1) формирование, утверждение, исполнение местного бюджета и контроль за его исполнением;</w:t>
      </w:r>
    </w:p>
    <w:p w14:paraId="41000000">
      <w:pPr>
        <w:spacing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2) владение, пользование и распоряжение имуществом, находящимся в муниципальной собственности Туапсинского муниципального округа;</w:t>
      </w:r>
    </w:p>
    <w:p w14:paraId="42000000">
      <w:pPr>
        <w:spacing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3) обеспечение малоимущих граждан, проживающих в </w:t>
      </w:r>
      <w:r>
        <w:rPr>
          <w:rFonts w:ascii="Times New Roman" w:hAnsi="Times New Roman"/>
          <w:sz w:val="28"/>
        </w:rPr>
        <w:t>Туапсинском муниципальном округе</w:t>
      </w:r>
      <w:r>
        <w:rPr>
          <w:rFonts w:ascii="Times New Roman" w:hAnsi="Times New Roman"/>
          <w:sz w:val="28"/>
        </w:rPr>
        <w:t xml:space="preserve"> и нуждающихся в улучшении жилищных условий, жилыми помещениями в соответствии с жилищным законодательством, организация строительства и содержания муниципального жилищного фонда, создание условий для жилищного строительства;</w:t>
      </w:r>
    </w:p>
    <w:p w14:paraId="43000000">
      <w:pPr>
        <w:spacing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4) организация предоставления общедоступного и бесплатного начального общего, основного общего, среднего (полного) общего образования по основным общеобразовательным программам, за исключением полномочий по финансовому обеспечению образовательного процесса, отнесенных к полномочиям органов государственной власти Краснодарского края; организация предоставления дополнительного образования детям (за исключением предоставления дополнительного образования детям в учреждениях регионального значения) и общедоступного бесплатного дошкольного образования на территории </w:t>
      </w:r>
      <w:r>
        <w:rPr>
          <w:rFonts w:ascii="Times New Roman" w:hAnsi="Times New Roman"/>
          <w:sz w:val="28"/>
        </w:rPr>
        <w:t>Туапсинского муниципального округа</w:t>
      </w:r>
      <w:r>
        <w:rPr>
          <w:rFonts w:ascii="Times New Roman" w:hAnsi="Times New Roman"/>
          <w:sz w:val="28"/>
        </w:rPr>
        <w:t>, а также организация отдыха детей в каникулярное время;</w:t>
      </w:r>
    </w:p>
    <w:p w14:paraId="44000000">
      <w:pPr>
        <w:spacing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5) создание условий для обеспечения жителей </w:t>
      </w:r>
      <w:r>
        <w:rPr>
          <w:rFonts w:ascii="Times New Roman" w:hAnsi="Times New Roman"/>
          <w:sz w:val="28"/>
        </w:rPr>
        <w:t>Туапсинского муниципального округа</w:t>
      </w:r>
      <w:r>
        <w:rPr>
          <w:rFonts w:ascii="Times New Roman" w:hAnsi="Times New Roman"/>
          <w:sz w:val="28"/>
        </w:rPr>
        <w:t xml:space="preserve"> услугами связи, общественного питания, торговли и бытового обслуживания;</w:t>
      </w:r>
    </w:p>
    <w:p w14:paraId="45000000">
      <w:pPr>
        <w:spacing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6) ведение информационной системы обеспечения градостроительной деятельности, осуществляемой на территории </w:t>
      </w:r>
      <w:r>
        <w:rPr>
          <w:rFonts w:ascii="Times New Roman" w:hAnsi="Times New Roman"/>
          <w:sz w:val="28"/>
        </w:rPr>
        <w:t>Туапсинского муниципального округа</w:t>
      </w:r>
      <w:r>
        <w:rPr>
          <w:rFonts w:ascii="Times New Roman" w:hAnsi="Times New Roman"/>
          <w:sz w:val="28"/>
        </w:rPr>
        <w:t>;</w:t>
      </w:r>
    </w:p>
    <w:p w14:paraId="46000000">
      <w:pPr>
        <w:spacing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7) резервирование земель и их изъятие, в том числе путем выкупа, земельных участков в границах </w:t>
      </w:r>
      <w:r>
        <w:rPr>
          <w:rFonts w:ascii="Times New Roman" w:hAnsi="Times New Roman"/>
          <w:sz w:val="28"/>
        </w:rPr>
        <w:t>Туапсинского муниципального округа</w:t>
      </w:r>
      <w:r>
        <w:rPr>
          <w:rFonts w:ascii="Times New Roman" w:hAnsi="Times New Roman"/>
          <w:sz w:val="28"/>
        </w:rPr>
        <w:t>;</w:t>
      </w:r>
    </w:p>
    <w:p w14:paraId="47000000">
      <w:pPr>
        <w:spacing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8) выдача разрешений на установку рекламных конструкций, аннулирование таких разрешений, выдача предписаний о демонтаже рекламных конструкций срок действия, которых истек на территории </w:t>
      </w:r>
      <w:r>
        <w:rPr>
          <w:rFonts w:ascii="Times New Roman" w:hAnsi="Times New Roman"/>
          <w:sz w:val="28"/>
        </w:rPr>
        <w:t>Туапсинского муниципального округа</w:t>
      </w:r>
      <w:r>
        <w:rPr>
          <w:rFonts w:ascii="Times New Roman" w:hAnsi="Times New Roman"/>
          <w:sz w:val="28"/>
        </w:rPr>
        <w:t>;</w:t>
      </w:r>
    </w:p>
    <w:p w14:paraId="48000000">
      <w:pPr>
        <w:spacing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9) создание условий для расширения рынка сельскохозяйственной продукции, сырья и продовольствия, содействие развитию малого и среднего предпринимательства;</w:t>
      </w:r>
    </w:p>
    <w:p w14:paraId="49000000">
      <w:pPr>
        <w:spacing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10) обеспечение размещения заказов на поставки товаров, выполнение работ, оказание услуг для муниципальных нужд, исполнения и контроля за исполнением муниципального заказа;</w:t>
      </w:r>
    </w:p>
    <w:p w14:paraId="4A000000">
      <w:pPr>
        <w:spacing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11) осуществление муниципального финансового контроля;</w:t>
      </w:r>
    </w:p>
    <w:p w14:paraId="4B000000">
      <w:pPr>
        <w:spacing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12) исполнение функций муниципального контроля;</w:t>
      </w:r>
    </w:p>
    <w:p w14:paraId="4C000000">
      <w:pPr>
        <w:spacing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13) предоставление услуг заявителям, а также иные непосредственные контакты с гражданами и организациями;</w:t>
      </w:r>
    </w:p>
    <w:p w14:paraId="4D000000">
      <w:pPr>
        <w:spacing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14) подготовка и (или) принятие решений по разработке и утверждению целевых программ и других программ, предусматривающих выделение бюджетных средств;</w:t>
      </w:r>
    </w:p>
    <w:p w14:paraId="4E000000">
      <w:pPr>
        <w:spacing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15) подготовка и (или) принятие решений, связанных с назначением на коррупциогенные должности.</w:t>
      </w:r>
    </w:p>
    <w:p w14:paraId="4F000000">
      <w:pPr>
        <w:spacing w:line="240" w:lineRule="auto"/>
        <w:ind/>
        <w:jc w:val="both"/>
        <w:rPr>
          <w:rFonts w:ascii="Times New Roman" w:hAnsi="Times New Roman"/>
          <w:sz w:val="20"/>
        </w:rPr>
      </w:pPr>
    </w:p>
    <w:p w14:paraId="50000000">
      <w:pPr>
        <w:spacing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Должности муниципальной службы в администрации</w:t>
      </w:r>
    </w:p>
    <w:p w14:paraId="51000000">
      <w:pPr>
        <w:spacing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Туапсинского муниципального округа, в наибольшей степени</w:t>
      </w:r>
    </w:p>
    <w:p w14:paraId="52000000">
      <w:pPr>
        <w:spacing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подверженные риску коррупции:</w:t>
      </w:r>
    </w:p>
    <w:p w14:paraId="53000000">
      <w:pPr>
        <w:spacing w:line="240" w:lineRule="auto"/>
        <w:ind/>
        <w:jc w:val="both"/>
        <w:rPr>
          <w:rFonts w:ascii="Times New Roman" w:hAnsi="Times New Roman"/>
          <w:sz w:val="20"/>
        </w:rPr>
      </w:pPr>
    </w:p>
    <w:p w14:paraId="54000000">
      <w:pPr>
        <w:spacing w:line="240" w:lineRule="auto"/>
        <w:ind w:firstLine="0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 Первый заместитель главы администрации Туапсинского муниципального округа;</w:t>
      </w:r>
    </w:p>
    <w:p w14:paraId="55000000">
      <w:pPr>
        <w:spacing w:line="240" w:lineRule="auto"/>
        <w:ind w:firstLine="0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2. Заместитель главы администрации </w:t>
      </w:r>
      <w:r>
        <w:rPr>
          <w:rFonts w:ascii="Times New Roman" w:hAnsi="Times New Roman"/>
          <w:sz w:val="28"/>
        </w:rPr>
        <w:t>Туапсинского муниципального округа</w:t>
      </w:r>
      <w:r>
        <w:rPr>
          <w:rFonts w:ascii="Times New Roman" w:hAnsi="Times New Roman"/>
          <w:sz w:val="28"/>
        </w:rPr>
        <w:t>;</w:t>
      </w:r>
    </w:p>
    <w:p w14:paraId="56000000">
      <w:pPr>
        <w:spacing w:line="240" w:lineRule="auto"/>
        <w:ind w:firstLine="0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 Начальник управления;</w:t>
      </w:r>
    </w:p>
    <w:p w14:paraId="57000000">
      <w:pPr>
        <w:spacing w:line="240" w:lineRule="auto"/>
        <w:ind w:firstLine="0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4. Заместитель начальника управления, отдела (самостоятельного);</w:t>
      </w:r>
    </w:p>
    <w:p w14:paraId="58000000">
      <w:pPr>
        <w:spacing w:line="240" w:lineRule="auto"/>
        <w:ind w:firstLine="0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5. Начальник отдела управления;</w:t>
      </w:r>
    </w:p>
    <w:p w14:paraId="59000000">
      <w:pPr>
        <w:spacing w:line="240" w:lineRule="auto"/>
        <w:ind w:firstLine="0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6. Начальник отдела (самостоятельного);</w:t>
      </w:r>
    </w:p>
    <w:p w14:paraId="5A000000">
      <w:pPr>
        <w:spacing w:line="240" w:lineRule="auto"/>
        <w:ind w:firstLine="0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7. Заместитель начальника отдела управления;</w:t>
      </w:r>
    </w:p>
    <w:p w14:paraId="5B000000">
      <w:pPr>
        <w:spacing w:line="240" w:lineRule="auto"/>
        <w:ind/>
        <w:jc w:val="both"/>
        <w:rPr>
          <w:rFonts w:ascii="Times New Roman" w:hAnsi="Times New Roman"/>
          <w:sz w:val="20"/>
        </w:rPr>
      </w:pPr>
    </w:p>
    <w:p w14:paraId="5C000000">
      <w:pPr>
        <w:spacing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Меры по ликвидации (нейтрализации) коррупционных рисков</w:t>
      </w:r>
    </w:p>
    <w:p w14:paraId="5D000000">
      <w:pPr>
        <w:spacing w:line="240" w:lineRule="auto"/>
        <w:ind/>
        <w:jc w:val="both"/>
        <w:rPr>
          <w:rFonts w:ascii="Times New Roman" w:hAnsi="Times New Roman"/>
          <w:sz w:val="20"/>
        </w:rPr>
      </w:pPr>
    </w:p>
    <w:p w14:paraId="5E000000">
      <w:pPr>
        <w:spacing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антикоррупционная пропаганда населения;</w:t>
      </w:r>
    </w:p>
    <w:p w14:paraId="5F000000">
      <w:pPr>
        <w:spacing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воспитание неприятия коррупции в молодежной среде;</w:t>
      </w:r>
    </w:p>
    <w:p w14:paraId="60000000">
      <w:pPr>
        <w:spacing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использование сети Интернет для информирования общественности о деятельности администрации и их структурных подразделений;</w:t>
      </w:r>
    </w:p>
    <w:p w14:paraId="61000000">
      <w:pPr>
        <w:spacing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рассмотрение обращений граждан на действия (бездействие) работников органов местного самоуправления;</w:t>
      </w:r>
    </w:p>
    <w:p w14:paraId="62000000">
      <w:pPr>
        <w:spacing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повышению качества издаваемых нормативных правовых актов;</w:t>
      </w:r>
    </w:p>
    <w:p w14:paraId="63000000">
      <w:pPr>
        <w:spacing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проведение правовой экспертизы действующих нормативных правовых актов и проектов на предмет их коррупциогенности;</w:t>
      </w:r>
    </w:p>
    <w:p w14:paraId="64000000">
      <w:pPr>
        <w:spacing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проведение системной работы по формированию среди муниципальных служащих нетерпимости к проявлению коррупции, а также ненадлежащему служебному поведению;</w:t>
      </w:r>
    </w:p>
    <w:p w14:paraId="65000000">
      <w:pPr>
        <w:spacing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проведение проверок муниципальных служащих на предмет их участия в предпринимательской деятельности, оказания не предусмотренного законодательством содействия физическим и юридическим лицам с использованием служебного положения и иных ограничений, установленных Федеральным законом от 02.03.2007 № 25-ФЗ «О муниципальной службе в Российской Федерации»;</w:t>
      </w:r>
    </w:p>
    <w:p w14:paraId="66000000">
      <w:pPr>
        <w:spacing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обмен информацией с правоохранительными органами по проверке лиц, претендующих на поступление на муниципальную службу, на их причастность к противоправной деятельности;</w:t>
      </w:r>
    </w:p>
    <w:p w14:paraId="67000000">
      <w:pPr>
        <w:spacing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обеспечение работы комиссии по урегулированию конфликта интересов и соблюдению требований к служебному поведению муниципальных служащих;</w:t>
      </w:r>
    </w:p>
    <w:p w14:paraId="68000000">
      <w:pPr>
        <w:spacing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осуществлению контроля за исполнением действующего законодательства об использовании муниципального имущества, его реализации;</w:t>
      </w:r>
    </w:p>
    <w:p w14:paraId="69000000">
      <w:pPr>
        <w:spacing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осуществлению контроля за исполнением действующего законодательства о поставках товаров, выполнении работ, оказании услуг для муниципальных нужд;</w:t>
      </w:r>
    </w:p>
    <w:p w14:paraId="6A000000">
      <w:pPr>
        <w:spacing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развитие сети удаленных рабочих мест МФЦ;</w:t>
      </w:r>
    </w:p>
    <w:p w14:paraId="6B000000">
      <w:pPr>
        <w:spacing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актуализация Реестра муниципальных услуг (функций) и их регламентация;</w:t>
      </w:r>
    </w:p>
    <w:p w14:paraId="6C000000">
      <w:pPr>
        <w:spacing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проведение заседаний комиссии по урегулированию конфликта интересов и соблюдению требований к служебному поведению;</w:t>
      </w:r>
    </w:p>
    <w:p w14:paraId="6D000000">
      <w:pPr>
        <w:spacing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на заседаниях Совета по взаимодействию с малым и средним бизнесом при главе </w:t>
      </w:r>
      <w:r>
        <w:rPr>
          <w:rFonts w:ascii="Times New Roman" w:hAnsi="Times New Roman"/>
          <w:sz w:val="28"/>
        </w:rPr>
        <w:t>Туапсинского муниципального округа</w:t>
      </w:r>
      <w:r>
        <w:rPr>
          <w:rFonts w:ascii="Times New Roman" w:hAnsi="Times New Roman"/>
          <w:sz w:val="28"/>
        </w:rPr>
        <w:t xml:space="preserve"> рассматривать:</w:t>
      </w:r>
    </w:p>
    <w:p w14:paraId="6E000000">
      <w:pPr>
        <w:spacing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а) проблемы при осуществлении хозяйственной деятельности субъектами малого и среднего бизнеса;</w:t>
      </w:r>
    </w:p>
    <w:p w14:paraId="6F000000">
      <w:pPr>
        <w:spacing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б) соблюдение трудового законодательства хозяйствующими субъектами при осуществлении предпринимательской деятельности;</w:t>
      </w:r>
    </w:p>
    <w:p w14:paraId="70000000">
      <w:pPr>
        <w:spacing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в) вопросы по противодействию коррупции в органах местного самоуправления и меры по устранению условий, сопутствующих бытовой коррупции.</w:t>
      </w:r>
    </w:p>
    <w:sectPr>
      <w:headerReference r:id="rId1" w:type="default"/>
      <w:pgSz w:h="16848" w:orient="portrait" w:w="11908"/>
      <w:pgMar w:bottom="907" w:footer="709" w:gutter="0" w:header="567" w:left="1701" w:right="567" w:top="1134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ind/>
      <w:jc w:val="center"/>
    </w:pPr>
    <w:r>
      <mc:AlternateContent>
        <mc:Choice Requires="wps">
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<wp:anchor allowOverlap="true" behindDoc="false" layoutInCell="true" locked="false" relativeHeight="251658240" simplePos="false">
              <wp:simplePos x="0" y="0"/>
              <wp:positionH relativeFrom="insideMargin">
                <wp:align>center</wp:align>
              </wp:positionH>
              <wp:positionV relativeFrom="paragraph">
                <wp:posOffset>0</wp:posOffset>
              </wp:positionV>
              <wp:extent cx="0" cy="0"/>
              <wp:wrapSquare wrapText="bothSides"/>
              <wp:docPr hidden="false" id="1" name="Picture 1"/>
              <a:graphic>
                <a:graphicData uri="http://schemas.microsoft.com/office/word/2010/wordprocessingShape">
                  <wps:wsp>
                    <wps:cNvSpPr txBox="true"/>
                    <wps:spPr>
                      <a:xfrm flipH="false" flipV="false" rot="0">
                        <a:off x="0" y="0"/>
                        <a:ext cx="0" cy="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2000000">
                          <w:pPr>
                            <w:pStyle w:val="Style_2"/>
                            <w:rPr>
                              <w:color w:val="000000"/>
                              <w:spacing w:val="0"/>
                            </w:rPr>
                          </w:pPr>
                          <w:r>
                            <w:rPr>
                              <w:color w:val="000000"/>
                              <w:spacing w:val="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  <w:spacing w:val="0"/>
                            </w:rPr>
                            <w:instrText>PAGE \* Arabic</w:instrText>
                          </w:r>
                          <w:r>
                            <w:rPr>
                              <w:color w:val="000000"/>
                              <w:spacing w:val="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  <w:spacing w:val="0"/>
                            </w:rPr>
                            <w:t xml:space="preserve"> </w:t>
                          </w:r>
                          <w:r>
                            <w:rPr>
                              <w:color w:val="000000"/>
                              <w:spacing w:val="0"/>
                            </w:rPr>
                            <w:fldChar w:fldCharType="end"/>
                          </w:r>
                        </w:p>
                      </w:txbxContent>
                    </wps:txbx>
                    <wps:bodyPr anchor="ctr" anchorCtr="true" bIns="45720" lIns="91440" rIns="91440" tIns="45720" vert="horz" wrap="square">
                      <a:sp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160" w:before="0" w:line="264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  <w:pPr>
      <w:spacing w:after="0" w:line="240" w:lineRule="auto"/>
      <w:ind/>
    </w:pPr>
    <w:rPr>
      <w:rFonts w:ascii="Times New Roman" w:hAnsi="Times New Roman"/>
      <w:sz w:val="28"/>
    </w:rPr>
  </w:style>
  <w:style w:default="1" w:styleId="Style_2_ch" w:type="character">
    <w:name w:val="Normal"/>
    <w:link w:val="Style_2"/>
    <w:rPr>
      <w:rFonts w:ascii="Times New Roman" w:hAnsi="Times New Roman"/>
      <w:sz w:val="28"/>
    </w:rPr>
  </w:style>
  <w:style w:styleId="Style_3" w:type="paragraph">
    <w:name w:val="toc 2"/>
    <w:next w:val="Style_2"/>
    <w:link w:val="Style_3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3_ch" w:type="character">
    <w:name w:val="toc 2"/>
    <w:link w:val="Style_3"/>
    <w:rPr>
      <w:rFonts w:ascii="XO Thames" w:hAnsi="XO Thames"/>
      <w:sz w:val="28"/>
    </w:rPr>
  </w:style>
  <w:style w:styleId="Style_4" w:type="paragraph">
    <w:name w:val="toc 4"/>
    <w:next w:val="Style_2"/>
    <w:link w:val="Style_4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4_ch" w:type="character">
    <w:name w:val="toc 4"/>
    <w:link w:val="Style_4"/>
    <w:rPr>
      <w:rFonts w:ascii="XO Thames" w:hAnsi="XO Thames"/>
      <w:sz w:val="28"/>
    </w:rPr>
  </w:style>
  <w:style w:styleId="Style_5" w:type="paragraph">
    <w:name w:val="Balloon Text"/>
    <w:basedOn w:val="Style_2"/>
    <w:link w:val="Style_5_ch"/>
    <w:rPr>
      <w:rFonts w:ascii="Segoe UI" w:hAnsi="Segoe UI"/>
      <w:sz w:val="18"/>
    </w:rPr>
  </w:style>
  <w:style w:styleId="Style_5_ch" w:type="character">
    <w:name w:val="Balloon Text"/>
    <w:basedOn w:val="Style_2_ch"/>
    <w:link w:val="Style_5"/>
    <w:rPr>
      <w:rFonts w:ascii="Segoe UI" w:hAnsi="Segoe UI"/>
      <w:sz w:val="18"/>
    </w:rPr>
  </w:style>
  <w:style w:styleId="Style_6" w:type="paragraph">
    <w:name w:val="annotation text"/>
    <w:basedOn w:val="Style_2"/>
    <w:link w:val="Style_6_ch"/>
    <w:rPr>
      <w:sz w:val="20"/>
    </w:rPr>
  </w:style>
  <w:style w:styleId="Style_6_ch" w:type="character">
    <w:name w:val="annotation text"/>
    <w:basedOn w:val="Style_2_ch"/>
    <w:link w:val="Style_6"/>
    <w:rPr>
      <w:sz w:val="20"/>
    </w:rPr>
  </w:style>
  <w:style w:styleId="Style_7" w:type="paragraph">
    <w:name w:val="toc 6"/>
    <w:next w:val="Style_2"/>
    <w:link w:val="Style_7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7_ch" w:type="character">
    <w:name w:val="toc 6"/>
    <w:link w:val="Style_7"/>
    <w:rPr>
      <w:rFonts w:ascii="XO Thames" w:hAnsi="XO Thames"/>
      <w:sz w:val="28"/>
    </w:rPr>
  </w:style>
  <w:style w:styleId="Style_8" w:type="paragraph">
    <w:name w:val="toc 7"/>
    <w:next w:val="Style_2"/>
    <w:link w:val="Style_8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8_ch" w:type="character">
    <w:name w:val="toc 7"/>
    <w:link w:val="Style_8"/>
    <w:rPr>
      <w:rFonts w:ascii="XO Thames" w:hAnsi="XO Thames"/>
      <w:sz w:val="28"/>
    </w:rPr>
  </w:style>
  <w:style w:styleId="Style_9" w:type="paragraph">
    <w:name w:val="Endnote"/>
    <w:link w:val="Style_9_ch"/>
    <w:pPr>
      <w:ind w:firstLine="851" w:left="0"/>
      <w:jc w:val="both"/>
    </w:pPr>
    <w:rPr>
      <w:rFonts w:ascii="XO Thames" w:hAnsi="XO Thames"/>
      <w:sz w:val="22"/>
    </w:rPr>
  </w:style>
  <w:style w:styleId="Style_9_ch" w:type="character">
    <w:name w:val="Endnote"/>
    <w:link w:val="Style_9"/>
    <w:rPr>
      <w:rFonts w:ascii="XO Thames" w:hAnsi="XO Thames"/>
      <w:sz w:val="22"/>
    </w:rPr>
  </w:style>
  <w:style w:styleId="Style_10" w:type="paragraph">
    <w:name w:val="heading 3"/>
    <w:next w:val="Style_2"/>
    <w:link w:val="Style_10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0_ch" w:type="character">
    <w:name w:val="heading 3"/>
    <w:link w:val="Style_10"/>
    <w:rPr>
      <w:rFonts w:ascii="XO Thames" w:hAnsi="XO Thames"/>
      <w:b w:val="1"/>
      <w:sz w:val="26"/>
    </w:rPr>
  </w:style>
  <w:style w:styleId="Style_11" w:type="paragraph">
    <w:name w:val="Body Text"/>
    <w:basedOn w:val="Style_2"/>
    <w:link w:val="Style_11_ch"/>
    <w:pPr>
      <w:ind/>
      <w:jc w:val="center"/>
    </w:pPr>
    <w:rPr>
      <w:b w:val="1"/>
      <w:caps w:val="1"/>
    </w:rPr>
  </w:style>
  <w:style w:styleId="Style_11_ch" w:type="character">
    <w:name w:val="Body Text"/>
    <w:basedOn w:val="Style_2_ch"/>
    <w:link w:val="Style_11"/>
    <w:rPr>
      <w:b w:val="1"/>
      <w:caps w:val="1"/>
    </w:rPr>
  </w:style>
  <w:style w:styleId="Style_12" w:type="paragraph">
    <w:name w:val="header"/>
    <w:basedOn w:val="Style_2"/>
    <w:link w:val="Style_12_ch"/>
    <w:pPr>
      <w:tabs>
        <w:tab w:leader="none" w:pos="4677" w:val="center"/>
        <w:tab w:leader="none" w:pos="9355" w:val="right"/>
      </w:tabs>
      <w:ind/>
    </w:pPr>
  </w:style>
  <w:style w:styleId="Style_12_ch" w:type="character">
    <w:name w:val="header"/>
    <w:basedOn w:val="Style_2_ch"/>
    <w:link w:val="Style_12"/>
  </w:style>
  <w:style w:styleId="Style_13" w:type="paragraph">
    <w:name w:val="annotation subject"/>
    <w:basedOn w:val="Style_6"/>
    <w:next w:val="Style_6"/>
    <w:link w:val="Style_13_ch"/>
    <w:rPr>
      <w:b w:val="1"/>
    </w:rPr>
  </w:style>
  <w:style w:styleId="Style_13_ch" w:type="character">
    <w:name w:val="annotation subject"/>
    <w:basedOn w:val="Style_6_ch"/>
    <w:link w:val="Style_13"/>
    <w:rPr>
      <w:b w:val="1"/>
    </w:rPr>
  </w:style>
  <w:style w:styleId="Style_14" w:type="paragraph">
    <w:name w:val="No Spacing"/>
    <w:link w:val="Style_14_ch"/>
    <w:pPr>
      <w:spacing w:after="0" w:line="240" w:lineRule="auto"/>
      <w:ind/>
    </w:pPr>
    <w:rPr>
      <w:rFonts w:ascii="Times New Roman" w:hAnsi="Times New Roman"/>
      <w:sz w:val="24"/>
    </w:rPr>
  </w:style>
  <w:style w:styleId="Style_14_ch" w:type="character">
    <w:name w:val="No Spacing"/>
    <w:link w:val="Style_14"/>
    <w:rPr>
      <w:rFonts w:ascii="Times New Roman" w:hAnsi="Times New Roman"/>
      <w:sz w:val="24"/>
    </w:rPr>
  </w:style>
  <w:style w:styleId="Style_15" w:type="paragraph">
    <w:name w:val="toc 3"/>
    <w:next w:val="Style_2"/>
    <w:link w:val="Style_15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5_ch" w:type="character">
    <w:name w:val="toc 3"/>
    <w:link w:val="Style_15"/>
    <w:rPr>
      <w:rFonts w:ascii="XO Thames" w:hAnsi="XO Thames"/>
      <w:sz w:val="28"/>
    </w:rPr>
  </w:style>
  <w:style w:styleId="Style_16" w:type="paragraph">
    <w:name w:val="annotation reference"/>
    <w:basedOn w:val="Style_17"/>
    <w:link w:val="Style_16_ch"/>
    <w:rPr>
      <w:sz w:val="16"/>
    </w:rPr>
  </w:style>
  <w:style w:styleId="Style_16_ch" w:type="character">
    <w:name w:val="annotation reference"/>
    <w:basedOn w:val="Style_17_ch"/>
    <w:link w:val="Style_16"/>
    <w:rPr>
      <w:sz w:val="16"/>
    </w:rPr>
  </w:style>
  <w:style w:styleId="Style_18" w:type="paragraph">
    <w:name w:val="heading 5"/>
    <w:next w:val="Style_2"/>
    <w:link w:val="Style_18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8_ch" w:type="character">
    <w:name w:val="heading 5"/>
    <w:link w:val="Style_18"/>
    <w:rPr>
      <w:rFonts w:ascii="XO Thames" w:hAnsi="XO Thames"/>
      <w:b w:val="1"/>
      <w:sz w:val="22"/>
    </w:rPr>
  </w:style>
  <w:style w:styleId="Style_19" w:type="paragraph">
    <w:name w:val="heading 1"/>
    <w:basedOn w:val="Style_2"/>
    <w:next w:val="Style_2"/>
    <w:link w:val="Style_19_ch"/>
    <w:uiPriority w:val="9"/>
    <w:qFormat/>
    <w:pPr>
      <w:keepNext w:val="1"/>
      <w:widowControl w:val="0"/>
      <w:spacing w:line="302" w:lineRule="exact"/>
      <w:ind w:firstLine="0" w:left="1094"/>
      <w:outlineLvl w:val="0"/>
    </w:pPr>
    <w:rPr>
      <w:b w:val="1"/>
      <w:color w:val="000000"/>
      <w:spacing w:val="-4"/>
    </w:rPr>
  </w:style>
  <w:style w:styleId="Style_19_ch" w:type="character">
    <w:name w:val="heading 1"/>
    <w:basedOn w:val="Style_2_ch"/>
    <w:link w:val="Style_19"/>
    <w:rPr>
      <w:b w:val="1"/>
      <w:color w:val="000000"/>
      <w:spacing w:val="-4"/>
    </w:rPr>
  </w:style>
  <w:style w:styleId="Style_20" w:type="paragraph">
    <w:name w:val="footer"/>
    <w:basedOn w:val="Style_2"/>
    <w:link w:val="Style_20_ch"/>
    <w:pPr>
      <w:tabs>
        <w:tab w:leader="none" w:pos="4677" w:val="center"/>
        <w:tab w:leader="none" w:pos="9355" w:val="right"/>
      </w:tabs>
      <w:ind/>
    </w:pPr>
  </w:style>
  <w:style w:styleId="Style_20_ch" w:type="character">
    <w:name w:val="footer"/>
    <w:basedOn w:val="Style_2_ch"/>
    <w:link w:val="Style_20"/>
  </w:style>
  <w:style w:styleId="Style_21" w:type="paragraph">
    <w:name w:val="Hyperlink"/>
    <w:link w:val="Style_21_ch"/>
    <w:rPr>
      <w:color w:val="0000FF"/>
      <w:u w:val="single"/>
    </w:rPr>
  </w:style>
  <w:style w:styleId="Style_21_ch" w:type="character">
    <w:name w:val="Hyperlink"/>
    <w:link w:val="Style_21"/>
    <w:rPr>
      <w:color w:val="0000FF"/>
      <w:u w:val="single"/>
    </w:rPr>
  </w:style>
  <w:style w:styleId="Style_22" w:type="paragraph">
    <w:name w:val="Footnote"/>
    <w:link w:val="Style_22_ch"/>
    <w:pPr>
      <w:ind w:firstLine="851" w:left="0"/>
      <w:jc w:val="both"/>
    </w:pPr>
    <w:rPr>
      <w:rFonts w:ascii="XO Thames" w:hAnsi="XO Thames"/>
      <w:sz w:val="22"/>
    </w:rPr>
  </w:style>
  <w:style w:styleId="Style_22_ch" w:type="character">
    <w:name w:val="Footnote"/>
    <w:link w:val="Style_22"/>
    <w:rPr>
      <w:rFonts w:ascii="XO Thames" w:hAnsi="XO Thames"/>
      <w:sz w:val="22"/>
    </w:rPr>
  </w:style>
  <w:style w:styleId="Style_23" w:type="paragraph">
    <w:name w:val="toc 1"/>
    <w:next w:val="Style_2"/>
    <w:link w:val="Style_23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23_ch" w:type="character">
    <w:name w:val="toc 1"/>
    <w:link w:val="Style_23"/>
    <w:rPr>
      <w:rFonts w:ascii="XO Thames" w:hAnsi="XO Thames"/>
      <w:b w:val="1"/>
      <w:sz w:val="28"/>
    </w:rPr>
  </w:style>
  <w:style w:styleId="Style_1" w:type="paragraph">
    <w:name w:val="Header and Footer"/>
    <w:link w:val="Style_1_ch"/>
    <w:pPr>
      <w:spacing w:line="240" w:lineRule="auto"/>
      <w:ind/>
      <w:jc w:val="both"/>
    </w:pPr>
    <w:rPr>
      <w:rFonts w:ascii="XO Thames" w:hAnsi="XO Thames"/>
      <w:sz w:val="28"/>
    </w:rPr>
  </w:style>
  <w:style w:styleId="Style_1_ch" w:type="character">
    <w:name w:val="Header and Footer"/>
    <w:link w:val="Style_1"/>
    <w:rPr>
      <w:rFonts w:ascii="XO Thames" w:hAnsi="XO Thames"/>
      <w:sz w:val="28"/>
    </w:rPr>
  </w:style>
  <w:style w:styleId="Style_17" w:type="paragraph">
    <w:name w:val="Default Paragraph Font"/>
    <w:link w:val="Style_17_ch"/>
  </w:style>
  <w:style w:styleId="Style_17_ch" w:type="character">
    <w:name w:val="Default Paragraph Font"/>
    <w:link w:val="Style_17"/>
  </w:style>
  <w:style w:styleId="Style_24" w:type="paragraph">
    <w:name w:val="toc 9"/>
    <w:next w:val="Style_2"/>
    <w:link w:val="Style_24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24_ch" w:type="character">
    <w:name w:val="toc 9"/>
    <w:link w:val="Style_24"/>
    <w:rPr>
      <w:rFonts w:ascii="XO Thames" w:hAnsi="XO Thames"/>
      <w:sz w:val="28"/>
    </w:rPr>
  </w:style>
  <w:style w:styleId="Style_25" w:type="paragraph">
    <w:name w:val="toc 8"/>
    <w:next w:val="Style_2"/>
    <w:link w:val="Style_25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5_ch" w:type="character">
    <w:name w:val="toc 8"/>
    <w:link w:val="Style_25"/>
    <w:rPr>
      <w:rFonts w:ascii="XO Thames" w:hAnsi="XO Thames"/>
      <w:sz w:val="28"/>
    </w:rPr>
  </w:style>
  <w:style w:styleId="Style_26" w:type="paragraph">
    <w:name w:val="toc 5"/>
    <w:next w:val="Style_2"/>
    <w:link w:val="Style_26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6_ch" w:type="character">
    <w:name w:val="toc 5"/>
    <w:link w:val="Style_26"/>
    <w:rPr>
      <w:rFonts w:ascii="XO Thames" w:hAnsi="XO Thames"/>
      <w:sz w:val="28"/>
    </w:rPr>
  </w:style>
  <w:style w:styleId="Style_27" w:type="paragraph">
    <w:name w:val="Style5"/>
    <w:basedOn w:val="Style_2"/>
    <w:link w:val="Style_27_ch"/>
    <w:pPr>
      <w:widowControl w:val="0"/>
      <w:spacing w:line="317" w:lineRule="exact"/>
      <w:ind w:hanging="346" w:left="346"/>
    </w:pPr>
    <w:rPr>
      <w:sz w:val="24"/>
    </w:rPr>
  </w:style>
  <w:style w:styleId="Style_27_ch" w:type="character">
    <w:name w:val="Style5"/>
    <w:basedOn w:val="Style_2_ch"/>
    <w:link w:val="Style_27"/>
    <w:rPr>
      <w:sz w:val="24"/>
    </w:rPr>
  </w:style>
  <w:style w:styleId="Style_28" w:type="paragraph">
    <w:name w:val="Subtitle"/>
    <w:next w:val="Style_2"/>
    <w:link w:val="Style_28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8_ch" w:type="character">
    <w:name w:val="Subtitle"/>
    <w:link w:val="Style_28"/>
    <w:rPr>
      <w:rFonts w:ascii="XO Thames" w:hAnsi="XO Thames"/>
      <w:i w:val="1"/>
      <w:sz w:val="24"/>
    </w:rPr>
  </w:style>
  <w:style w:styleId="Style_29" w:type="paragraph">
    <w:name w:val="Title"/>
    <w:next w:val="Style_2"/>
    <w:link w:val="Style_29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9_ch" w:type="character">
    <w:name w:val="Title"/>
    <w:link w:val="Style_29"/>
    <w:rPr>
      <w:rFonts w:ascii="XO Thames" w:hAnsi="XO Thames"/>
      <w:b w:val="1"/>
      <w:caps w:val="1"/>
      <w:sz w:val="40"/>
    </w:rPr>
  </w:style>
  <w:style w:styleId="Style_30" w:type="paragraph">
    <w:name w:val="heading 4"/>
    <w:next w:val="Style_2"/>
    <w:link w:val="Style_30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0_ch" w:type="character">
    <w:name w:val="heading 4"/>
    <w:link w:val="Style_30"/>
    <w:rPr>
      <w:rFonts w:ascii="XO Thames" w:hAnsi="XO Thames"/>
      <w:b w:val="1"/>
      <w:sz w:val="24"/>
    </w:rPr>
  </w:style>
  <w:style w:styleId="Style_31" w:type="paragraph">
    <w:name w:val="heading 2"/>
    <w:next w:val="Style_2"/>
    <w:link w:val="Style_31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1_ch" w:type="character">
    <w:name w:val="heading 2"/>
    <w:link w:val="Style_31"/>
    <w:rPr>
      <w:rFonts w:ascii="XO Thames" w:hAnsi="XO Thames"/>
      <w:b w:val="1"/>
      <w:sz w:val="28"/>
    </w:rPr>
  </w:style>
  <w:style w:styleId="Style_32" w:type="table">
    <w:name w:val="Table Grid"/>
    <w:basedOn w:val="Style_33"/>
    <w:pPr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default="1" w:styleId="Style_33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webSettings.xml" Type="http://schemas.openxmlformats.org/officeDocument/2006/relationships/webSettings"/>
  <Relationship Id="rId1" Target="header1.xml" Type="http://schemas.openxmlformats.org/officeDocument/2006/relationships/header"/>
  <Relationship Id="rId2" Target="fontTable.xml" Type="http://schemas.openxmlformats.org/officeDocument/2006/relationships/fontTable"/>
  <Relationship Id="rId3" Target="settings.xml" Type="http://schemas.openxmlformats.org/officeDocument/2006/relationships/settings"/>
  <Relationship Id="rId4" Target="styles.xml" Type="http://schemas.openxmlformats.org/officeDocument/2006/relationships/styles"/>
  <Relationship Id="rId7" Target="theme/theme1.xml" Type="http://schemas.openxmlformats.org/officeDocument/2006/relationships/theme"/>
  <Relationship Id="rId5" Target="stylesWithEffects.xml" Type="http://schemas.microsoft.com/office/2007/relationships/stylesWithEffect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MyOffice-CoreFramework-Linux/31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2026-01-13T11:14:39Z</dcterms:modified>
</cp:coreProperties>
</file>