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46"/>
        <w:gridCol w:w="4825"/>
      </w:tblGrid>
      <w:tr w:rsidR="00944166" w:rsidRPr="00063C7D" w:rsidTr="00780266">
        <w:trPr>
          <w:jc w:val="center"/>
        </w:trPr>
        <w:tc>
          <w:tcPr>
            <w:tcW w:w="4927" w:type="dxa"/>
          </w:tcPr>
          <w:p w:rsidR="00944166" w:rsidRPr="000F3EDE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4928" w:type="dxa"/>
          </w:tcPr>
          <w:p w:rsidR="00944166" w:rsidRPr="00063C7D" w:rsidRDefault="00944166" w:rsidP="00780266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44166" w:rsidRPr="00063C7D" w:rsidRDefault="00944166" w:rsidP="00780266">
            <w:p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944166" w:rsidRPr="00063C7D" w:rsidRDefault="00944166" w:rsidP="00780266">
            <w:pPr>
              <w:spacing w:after="0" w:line="240" w:lineRule="auto"/>
              <w:ind w:left="601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944166" w:rsidRPr="00063C7D" w:rsidRDefault="00944166" w:rsidP="00780266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944166" w:rsidRPr="00063C7D" w:rsidRDefault="00944166" w:rsidP="00780266">
            <w:pPr>
              <w:tabs>
                <w:tab w:val="left" w:pos="280"/>
                <w:tab w:val="left" w:pos="4265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от ___________ № ____________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>ВЕДОМСТВЕННАЯ ЦЕЛЕВАЯ ПРОГРАММА</w:t>
      </w: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 xml:space="preserve">«РАЗВИТИЕ АГРОПРОМЫШЛЕННОГО КОМПЛЕКСА НА ТЕРРИТОРИИ МУНИЦИПАЛЬНОГО ОБРАЗОВАНИЯ </w:t>
      </w: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>ТУАПСИНСКИЙ РАЙОН»</w:t>
      </w: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>ПАСПОРТ</w:t>
      </w:r>
    </w:p>
    <w:p w:rsidR="00944166" w:rsidRPr="00063C7D" w:rsidRDefault="00944166" w:rsidP="0094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 xml:space="preserve">ведомственной целевой программы </w:t>
      </w:r>
    </w:p>
    <w:p w:rsidR="00944166" w:rsidRPr="00063C7D" w:rsidRDefault="00944166" w:rsidP="009441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«Развитие агропромышленного комплекса</w:t>
      </w:r>
    </w:p>
    <w:p w:rsidR="00944166" w:rsidRPr="00063C7D" w:rsidRDefault="00944166" w:rsidP="009441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063C7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63C7D">
        <w:rPr>
          <w:rFonts w:ascii="Times New Roman" w:hAnsi="Times New Roman"/>
          <w:sz w:val="28"/>
          <w:szCs w:val="28"/>
        </w:rPr>
        <w:t xml:space="preserve"> образования </w:t>
      </w:r>
      <w:r w:rsidRPr="00063C7D">
        <w:rPr>
          <w:rFonts w:ascii="Times New Roman" w:hAnsi="Times New Roman" w:cs="Times New Roman"/>
          <w:sz w:val="28"/>
          <w:szCs w:val="28"/>
        </w:rPr>
        <w:t xml:space="preserve">Туапсинский район» </w:t>
      </w:r>
    </w:p>
    <w:p w:rsidR="00944166" w:rsidRPr="00063C7D" w:rsidRDefault="00944166" w:rsidP="009441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6133"/>
      </w:tblGrid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главного координатора ведомственной целевой программы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сельского хозяйства и перерабатывающей промышленности администрации </w:t>
            </w:r>
            <w:proofErr w:type="gramStart"/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 Туапсинский район</w:t>
            </w: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разработки ведомственной целевой программы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  закон  от  6   октября  2003   г.        № 131-ФЗ «Об общих принципах организации местного самоуправления в Российской Федерации»; 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закон от 11 июня 2003 г. </w:t>
            </w: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№ 74-ФЗ «О крестьянском (фермерском)            хозяйстве»;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 Краснодарского края от 28 января 2009 г.  № 1690-КЗ «О развитии сельского хозяйства  в Краснодарском крае»;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Статья 78 Бюджетного кодекса Российской Федерации;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главы администрации (губернатора) Краснодарского края от 05.10.2015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Совета муниципального образования  Туапсинский район от 25 декабря 2020 г. «О </w:t>
            </w: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бюджете муниципального образования Туапсинский район на 2021 год и на плановый период 2022 и 2023 годов»;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муниципального образования Туапсинский район от 21 июля    2015 г. № 1845 «Порядок разработки, утверждения и реализации ведомственных целевых программ муниципального образования Туапсинский район»</w:t>
            </w: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Title"/>
              <w:widowControl/>
              <w:ind w:firstLine="867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устойчивое развитие агропромышленного комплекса Туапсинского района, повышение конкурентоспособности Туапсинской сельскохозяйственной продукции на основе финансовой устойчивости и модернизации сельского хозяйства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nformat"/>
              <w:widowControl/>
              <w:ind w:firstLine="9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производства товарной продукции малыми формами хозяйствования в АПК;</w:t>
            </w:r>
          </w:p>
          <w:p w:rsidR="00944166" w:rsidRPr="00063C7D" w:rsidRDefault="00944166" w:rsidP="00780266">
            <w:pPr>
              <w:pStyle w:val="ConsPlusNonformat"/>
              <w:widowControl/>
              <w:ind w:firstLine="9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систем сбыта, транспортировки и хранения продукции малых форм хозяйствования в  АПК;</w:t>
            </w:r>
          </w:p>
          <w:p w:rsidR="00944166" w:rsidRPr="00063C7D" w:rsidRDefault="00944166" w:rsidP="00780266">
            <w:pPr>
              <w:pStyle w:val="ConsPlusNonformat"/>
              <w:widowControl/>
              <w:ind w:firstLine="9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систем переработки и реализации продукции;</w:t>
            </w:r>
          </w:p>
          <w:p w:rsidR="00944166" w:rsidRPr="00063C7D" w:rsidRDefault="00944166" w:rsidP="00780266">
            <w:pPr>
              <w:pStyle w:val="ConsPlusNormal"/>
              <w:widowControl/>
              <w:ind w:firstLine="9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системы учета производства и реализации сельскохозяйственной продукции малых форм хозяйствования в АПК «сельское поселение – муниципальный район (городской округ) – край»</w:t>
            </w:r>
          </w:p>
          <w:p w:rsidR="00944166" w:rsidRPr="00063C7D" w:rsidRDefault="00944166" w:rsidP="00780266">
            <w:pPr>
              <w:pStyle w:val="ConsPlusNormal"/>
              <w:widowControl/>
              <w:ind w:firstLine="9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целевых показателей</w:t>
            </w:r>
            <w:r w:rsidRPr="00063C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целевых показателей</w:t>
            </w:r>
            <w:r w:rsidRPr="00063C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ведомственной   целевой программы представлен в приложении 1.</w:t>
            </w:r>
          </w:p>
          <w:p w:rsidR="00944166" w:rsidRPr="00063C7D" w:rsidRDefault="00944166" w:rsidP="0078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</w:t>
            </w:r>
            <w:r w:rsidRPr="00063C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ведомственной целевой программы</w:t>
            </w:r>
            <w:r w:rsidRPr="00063C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– 2024 годы</w:t>
            </w:r>
          </w:p>
          <w:p w:rsidR="00944166" w:rsidRPr="00063C7D" w:rsidRDefault="00944166" w:rsidP="0078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44166" w:rsidRPr="00063C7D" w:rsidRDefault="00944166" w:rsidP="00944166">
      <w:pPr>
        <w:spacing w:after="0" w:line="240" w:lineRule="auto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9"/>
        <w:gridCol w:w="6122"/>
      </w:tblGrid>
      <w:tr w:rsidR="00944166" w:rsidRPr="00063C7D" w:rsidTr="00780266">
        <w:tc>
          <w:tcPr>
            <w:tcW w:w="3528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326" w:type="dxa"/>
          </w:tcPr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   всего по Программе – 32791,4 тыс. руб., в том  числе: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2022 год – 10688,3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10930,3 тыс. руб.  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– 11172,8 тыс. руб. 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   краевой бюджет, всего – 10252,2 тыс. руб., в том числе: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2022 год – 3417,4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2023 год – 3417,4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3417,4 тыс. руб. 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   бюджет муниципального образования   Туапсинский район, всего – 2472,6 тыс. руб.,         в том числе: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063C7D">
              <w:rPr>
                <w:rFonts w:ascii="Times New Roman" w:hAnsi="Times New Roman"/>
                <w:sz w:val="28"/>
                <w:szCs w:val="28"/>
              </w:rPr>
              <w:t>787,3</w:t>
            </w: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2023 год – 824,2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861,1 тыс. руб. 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 xml:space="preserve">   привлеченные средства сельскохозяйственных товаропроизводителей – 20066,6 тыс. руб., в том числе: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2022 год – 6483,6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2023 год – 6688,7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sz w:val="28"/>
                <w:szCs w:val="28"/>
              </w:rPr>
              <w:t>2024 год – 6894,3    тыс. руб.</w:t>
            </w:r>
          </w:p>
          <w:p w:rsidR="00944166" w:rsidRPr="00063C7D" w:rsidRDefault="00944166" w:rsidP="00780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3C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944166" w:rsidRPr="00063C7D" w:rsidRDefault="00944166" w:rsidP="0094416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063C7D">
        <w:rPr>
          <w:rFonts w:ascii="Times New Roman" w:hAnsi="Times New Roman"/>
          <w:b/>
          <w:sz w:val="28"/>
          <w:szCs w:val="28"/>
        </w:rPr>
        <w:t>Содержание проблемы, обоснование необходимости ее решения</w:t>
      </w:r>
    </w:p>
    <w:p w:rsidR="00944166" w:rsidRPr="00063C7D" w:rsidRDefault="00944166" w:rsidP="0094416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63C7D">
        <w:rPr>
          <w:rFonts w:ascii="Times New Roman" w:hAnsi="Times New Roman"/>
          <w:b/>
          <w:sz w:val="28"/>
          <w:szCs w:val="28"/>
        </w:rPr>
        <w:t>в рамках ведомственной целевой программы</w:t>
      </w:r>
    </w:p>
    <w:p w:rsidR="00944166" w:rsidRPr="00063C7D" w:rsidRDefault="00944166" w:rsidP="009441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 xml:space="preserve">Основная специализации предприятий сельского хозяйства района – производство плодовой продукции, что позволяет наиболее полно  использовать почвенно-климатические условия, обеспечить занятость  населения и поступления в бюджет. </w:t>
      </w:r>
    </w:p>
    <w:p w:rsidR="00944166" w:rsidRPr="00063C7D" w:rsidRDefault="00944166" w:rsidP="0094416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 xml:space="preserve">В современных условиях роль малых форм хозяйствования в АПК – личных подсобных хозяйств и крестьянских (фермерских) хозяйств – в социальном и экономическом развитии села существенно возросла. Они имеют  потенциал в увеличении производства сельскохозяйственной продукции и </w:t>
      </w:r>
      <w:proofErr w:type="spellStart"/>
      <w:r w:rsidRPr="00063C7D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063C7D">
        <w:rPr>
          <w:rFonts w:ascii="Times New Roman" w:hAnsi="Times New Roman" w:cs="Times New Roman"/>
          <w:sz w:val="28"/>
          <w:szCs w:val="28"/>
        </w:rPr>
        <w:t xml:space="preserve"> продуктами питания, а также являются неотъемлемым элементом крестьянского уклада жизни сельского населения.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Основными направлениями деятельности малых форм хозяйствования на селе  являются отрасли животноводства и растениеводства.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Развитие данных отраслей в условиях малых форм хозяйствования  будет способствовать увеличению объемов производства животноводческой продукции, что позволит наполнить рынки продукцией местного производства.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Рост производства сельскохозяйственной продукции сдерживают следующие факторы: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высокие цены на энергоносители, сельскохозяйственную технику,   средства малой механизации, комбикорма;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недостаточно развитая сеть реализации кормов;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lastRenderedPageBreak/>
        <w:t>отсутствие четко налаженного гарантированного сбыта сельскохозяйственной продукции.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Эту задачу планируется решить путем:                                           оказания финансовой поддержки предприятиям  АПК на возмещение части затрат на организацию производства плодоовощной и животноводческой продукции;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развитие сети оптовых заготовительных предприятий и пунктов розничной торговли.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 целях повышения качества произведенной продукции и экономической эффективности производства необходимо: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обеспечить ветеринарное обслуживание животных в хозяйствах граждан в соответствии с действующим законодательством;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оказание консультационной помощи сельхозтоваропроизводителям района.</w:t>
      </w:r>
    </w:p>
    <w:p w:rsidR="00944166" w:rsidRPr="00063C7D" w:rsidRDefault="00944166" w:rsidP="0094416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 сложившейся ситуации эффективным решением основных проблем малых форм хозяйствования в АПК является создание сельскохозяйственных потребительских кооперативов. Правовую основу для этого представляет  Федеральный закон от 8 декабря 1995 г. № 193-ФЗ «О сельскохозяйственной кооперации», который стимулирует развитие кооперативного сектора.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 xml:space="preserve">Все вышеизложенное требует осуществления </w:t>
      </w:r>
      <w:proofErr w:type="gramStart"/>
      <w:r w:rsidRPr="00063C7D">
        <w:rPr>
          <w:rFonts w:ascii="Times New Roman" w:hAnsi="Times New Roman" w:cs="Times New Roman"/>
          <w:sz w:val="28"/>
          <w:szCs w:val="28"/>
        </w:rPr>
        <w:t>системы мер государственной поддержки развития агропромышленного комплекса</w:t>
      </w:r>
      <w:proofErr w:type="gramEnd"/>
      <w:r w:rsidRPr="00063C7D">
        <w:rPr>
          <w:rFonts w:ascii="Times New Roman" w:hAnsi="Times New Roman" w:cs="Times New Roman"/>
          <w:sz w:val="28"/>
          <w:szCs w:val="28"/>
        </w:rPr>
        <w:t xml:space="preserve"> на территории Туапсинского района.</w:t>
      </w:r>
    </w:p>
    <w:p w:rsidR="00944166" w:rsidRPr="00063C7D" w:rsidRDefault="00944166" w:rsidP="00944166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7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63C7D">
        <w:rPr>
          <w:rFonts w:ascii="Times New Roman" w:hAnsi="Times New Roman"/>
          <w:b/>
          <w:sz w:val="28"/>
          <w:szCs w:val="28"/>
        </w:rPr>
        <w:t>Цели и задачи, целевые показател</w:t>
      </w:r>
      <w:r w:rsidR="009E379D">
        <w:rPr>
          <w:rFonts w:ascii="Times New Roman" w:hAnsi="Times New Roman"/>
          <w:b/>
          <w:sz w:val="28"/>
          <w:szCs w:val="28"/>
        </w:rPr>
        <w:t>и ведомственной целевой</w:t>
      </w:r>
      <w:r w:rsidRPr="00063C7D">
        <w:rPr>
          <w:rFonts w:ascii="Times New Roman" w:hAnsi="Times New Roman"/>
          <w:b/>
          <w:sz w:val="28"/>
          <w:szCs w:val="28"/>
        </w:rPr>
        <w:t>программы, сроки ее реализации</w:t>
      </w:r>
    </w:p>
    <w:p w:rsidR="00944166" w:rsidRPr="00063C7D" w:rsidRDefault="00944166" w:rsidP="00944166">
      <w:pPr>
        <w:pStyle w:val="ConsPlusNormal"/>
        <w:widowControl/>
        <w:ind w:firstLine="0"/>
        <w:rPr>
          <w:rFonts w:ascii="Times New Roman" w:hAnsi="Times New Roman" w:cs="Times New Roman"/>
          <w:b/>
          <w:color w:val="FF0000"/>
        </w:rPr>
      </w:pPr>
    </w:p>
    <w:p w:rsidR="00944166" w:rsidRPr="00063C7D" w:rsidRDefault="00944166" w:rsidP="0094416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3C7D">
        <w:rPr>
          <w:rFonts w:ascii="Times New Roman" w:hAnsi="Times New Roman" w:cs="Times New Roman"/>
          <w:b w:val="0"/>
          <w:sz w:val="28"/>
          <w:szCs w:val="28"/>
        </w:rPr>
        <w:t xml:space="preserve">Цель ведомственной целевой программы «Развитие агропромышленного комплекса на территории </w:t>
      </w:r>
      <w:r w:rsidRPr="00063C7D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r w:rsidRPr="00063C7D">
        <w:rPr>
          <w:rFonts w:ascii="Times New Roman" w:hAnsi="Times New Roman" w:cs="Times New Roman"/>
          <w:b w:val="0"/>
          <w:sz w:val="28"/>
          <w:szCs w:val="28"/>
        </w:rPr>
        <w:t>Туапсинский район»  - устойчивое развитие агропромышленного комплекса Туапсинского района, повышение конкурентоспособности Туапсинской сельскохозяйственной продукции на основе финансовой устойчивости и модернизации сельского хозяйства.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944166" w:rsidRPr="00063C7D" w:rsidRDefault="00944166" w:rsidP="0094416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развитие производства товарной продукции малыми формами хозяйствования в АПК;</w:t>
      </w:r>
    </w:p>
    <w:p w:rsidR="00944166" w:rsidRPr="00063C7D" w:rsidRDefault="00944166" w:rsidP="0094416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организация систем сбыта, транспортировки и хранения продукции малых форм хозяйствования в  АПК;</w:t>
      </w:r>
    </w:p>
    <w:p w:rsidR="00944166" w:rsidRPr="00063C7D" w:rsidRDefault="00944166" w:rsidP="0094416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организация систем переработки и реализации продукции;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организация системы учета производства и реализации сельскохозяйственной продукции малых форм хозяйствования в АПК «сельское поселение – муниципальный район (городской округ) – край».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Программой намечены приоритетные и перспективные направления развития производства товарной продукции сельхозтоваропроизводителями: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lastRenderedPageBreak/>
        <w:t>производство мяса скота и птицы;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производство молока;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производство овощей.</w:t>
      </w:r>
    </w:p>
    <w:p w:rsidR="00944166" w:rsidRPr="00063C7D" w:rsidRDefault="00944166" w:rsidP="0094416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 xml:space="preserve">Самостоятельными направлениями развития непродовольственной  сферы могут стать пушное звероводство, цветоводство, развитие туризма в сельской местности (сельский туризм), включая развитие народных промыслов, торговли в сельской местности, а также бытовое и социально-культурное обслуживание сельского населения.  </w:t>
      </w:r>
    </w:p>
    <w:p w:rsidR="00944166" w:rsidRPr="00063C7D" w:rsidRDefault="00944166" w:rsidP="00944166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выполнения будет определяться достижением целевые показателей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 приведенных в приложении 1.</w:t>
      </w:r>
    </w:p>
    <w:p w:rsidR="00944166" w:rsidRPr="00063C7D" w:rsidRDefault="00944166" w:rsidP="00944166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/>
          <w:color w:val="000000" w:themeColor="text1"/>
          <w:sz w:val="28"/>
          <w:szCs w:val="28"/>
        </w:rPr>
        <w:t xml:space="preserve">Сроки реализации ведомственной целевой программы: 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2022 – 2024 годы.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hyperlink w:anchor="Par1099" w:history="1">
        <w:r w:rsidRPr="00063C7D">
          <w:rPr>
            <w:rFonts w:ascii="Times New Roman" w:hAnsi="Times New Roman"/>
            <w:b/>
            <w:color w:val="000000" w:themeColor="text1"/>
            <w:sz w:val="28"/>
            <w:szCs w:val="28"/>
          </w:rPr>
          <w:t>Перечень</w:t>
        </w:r>
      </w:hyperlink>
      <w:r w:rsidRPr="00063C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мероприятий ведомственной целевой программы</w:t>
      </w: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44166" w:rsidRPr="00063C7D" w:rsidRDefault="006509A3" w:rsidP="00944166">
      <w:pPr>
        <w:pStyle w:val="ConsPlusNormal"/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w:anchor="Par1099" w:history="1">
        <w:r w:rsidR="00944166" w:rsidRPr="00063C7D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="00944166" w:rsidRPr="00063C7D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ведомственной целевой программы представлен в приложении 2.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63C7D">
        <w:rPr>
          <w:rFonts w:ascii="Times New Roman" w:hAnsi="Times New Roman"/>
          <w:b/>
          <w:color w:val="000000" w:themeColor="text1"/>
          <w:sz w:val="28"/>
          <w:szCs w:val="28"/>
        </w:rPr>
        <w:t>4. Обоснование финансового обеспечения ведомственной целевой программы</w:t>
      </w: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мероприятий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за счет сре</w:t>
      </w:r>
      <w:proofErr w:type="gramStart"/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дств кр</w:t>
      </w:r>
      <w:proofErr w:type="gramEnd"/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аевого бюджета, бюджета муниципального образования Туапсинский район и внебюджетных источников. 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2126"/>
        <w:gridCol w:w="1950"/>
      </w:tblGrid>
      <w:tr w:rsidR="00944166" w:rsidRPr="00063C7D" w:rsidTr="00687C1B">
        <w:tc>
          <w:tcPr>
            <w:tcW w:w="1668" w:type="dxa"/>
            <w:vMerge w:val="restart"/>
          </w:tcPr>
          <w:p w:rsidR="00944166" w:rsidRPr="00063C7D" w:rsidRDefault="00944166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реализации</w:t>
            </w:r>
          </w:p>
        </w:tc>
        <w:tc>
          <w:tcPr>
            <w:tcW w:w="7903" w:type="dxa"/>
            <w:gridSpan w:val="4"/>
          </w:tcPr>
          <w:p w:rsidR="00944166" w:rsidRPr="00063C7D" w:rsidRDefault="00944166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финансирования, тыс. рублей</w:t>
            </w:r>
          </w:p>
        </w:tc>
      </w:tr>
      <w:tr w:rsidR="00944166" w:rsidRPr="00063C7D" w:rsidTr="00687C1B">
        <w:tc>
          <w:tcPr>
            <w:tcW w:w="1668" w:type="dxa"/>
            <w:vMerge/>
          </w:tcPr>
          <w:p w:rsidR="00944166" w:rsidRPr="00063C7D" w:rsidRDefault="00944166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4166" w:rsidRPr="00063C7D" w:rsidRDefault="00944166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6202" w:type="dxa"/>
            <w:gridSpan w:val="3"/>
          </w:tcPr>
          <w:p w:rsidR="00944166" w:rsidRPr="00063C7D" w:rsidRDefault="00944166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2126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950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687C1B" w:rsidRPr="00063C7D" w:rsidRDefault="00687C1B" w:rsidP="00780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10688,3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3417,4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787,3</w:t>
            </w:r>
          </w:p>
        </w:tc>
        <w:tc>
          <w:tcPr>
            <w:tcW w:w="1950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6483,6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10930,3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3417,4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824,2</w:t>
            </w:r>
          </w:p>
        </w:tc>
        <w:tc>
          <w:tcPr>
            <w:tcW w:w="1950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6688,7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11172,8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3417,4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861,1</w:t>
            </w:r>
          </w:p>
        </w:tc>
        <w:tc>
          <w:tcPr>
            <w:tcW w:w="1950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6894,3</w:t>
            </w:r>
          </w:p>
        </w:tc>
      </w:tr>
      <w:tr w:rsidR="00687C1B" w:rsidRPr="00063C7D" w:rsidTr="00687C1B">
        <w:tc>
          <w:tcPr>
            <w:tcW w:w="1668" w:type="dxa"/>
          </w:tcPr>
          <w:p w:rsidR="00687C1B" w:rsidRPr="00063C7D" w:rsidRDefault="00687C1B" w:rsidP="00780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</w:t>
            </w:r>
          </w:p>
        </w:tc>
        <w:tc>
          <w:tcPr>
            <w:tcW w:w="1701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32791,4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10252,2</w:t>
            </w:r>
          </w:p>
        </w:tc>
        <w:tc>
          <w:tcPr>
            <w:tcW w:w="2126" w:type="dxa"/>
            <w:vAlign w:val="center"/>
          </w:tcPr>
          <w:p w:rsidR="00687C1B" w:rsidRPr="00063C7D" w:rsidRDefault="00687C1B" w:rsidP="00ED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2472,6</w:t>
            </w:r>
          </w:p>
        </w:tc>
        <w:tc>
          <w:tcPr>
            <w:tcW w:w="1950" w:type="dxa"/>
            <w:vAlign w:val="center"/>
          </w:tcPr>
          <w:p w:rsidR="00687C1B" w:rsidRPr="00063C7D" w:rsidRDefault="00687C1B" w:rsidP="00573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20066,6</w:t>
            </w:r>
          </w:p>
        </w:tc>
      </w:tr>
    </w:tbl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потребность в финансировании мероприятий на период действия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3C7D">
        <w:rPr>
          <w:rFonts w:ascii="Times New Roman" w:hAnsi="Times New Roman" w:cs="Times New Roman"/>
          <w:sz w:val="28"/>
          <w:szCs w:val="28"/>
        </w:rPr>
        <w:t>составляет 32,7 млн. руб.</w:t>
      </w:r>
      <w:r w:rsidRPr="00063C7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DD694C" w:rsidRDefault="00944166" w:rsidP="0058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D1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осуществляется в рамках государственной программы Краснодарского края от 05</w:t>
      </w:r>
      <w:r w:rsidR="00B97B1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501D1">
        <w:rPr>
          <w:rFonts w:ascii="Times New Roman" w:hAnsi="Times New Roman" w:cs="Times New Roman"/>
          <w:sz w:val="28"/>
          <w:szCs w:val="28"/>
        </w:rPr>
        <w:t xml:space="preserve">2015 г. </w:t>
      </w:r>
      <w:r w:rsidR="00B97B14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D1">
        <w:rPr>
          <w:rFonts w:ascii="Times New Roman" w:hAnsi="Times New Roman" w:cs="Times New Roman"/>
          <w:sz w:val="28"/>
          <w:szCs w:val="28"/>
        </w:rPr>
        <w:t>№ 944 «Об утверждении государственной программы Краснодарского края «Развитие сельского хозяйства и регулирование рынков сельскохозяйственной про</w:t>
      </w:r>
      <w:r w:rsidR="00925291">
        <w:rPr>
          <w:rFonts w:ascii="Times New Roman" w:hAnsi="Times New Roman" w:cs="Times New Roman"/>
          <w:sz w:val="28"/>
          <w:szCs w:val="28"/>
        </w:rPr>
        <w:t>дукции, сырья и продовольствия»</w:t>
      </w:r>
      <w:r w:rsidR="00953D94">
        <w:rPr>
          <w:rFonts w:ascii="Times New Roman" w:hAnsi="Times New Roman" w:cs="Times New Roman"/>
          <w:sz w:val="28"/>
          <w:szCs w:val="28"/>
        </w:rPr>
        <w:t>.</w:t>
      </w:r>
    </w:p>
    <w:p w:rsidR="00687C1B" w:rsidRPr="0058721B" w:rsidRDefault="00687C1B" w:rsidP="0058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166" w:rsidRPr="00063C7D" w:rsidRDefault="00944166" w:rsidP="009441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5. Механизм реализации </w:t>
      </w:r>
      <w:r w:rsidRPr="00063C7D">
        <w:rPr>
          <w:rFonts w:ascii="Times New Roman" w:hAnsi="Times New Roman"/>
          <w:b/>
          <w:color w:val="000000" w:themeColor="text1"/>
          <w:sz w:val="28"/>
          <w:szCs w:val="28"/>
        </w:rPr>
        <w:t>ведомственной целевой программы</w:t>
      </w:r>
    </w:p>
    <w:p w:rsidR="00944166" w:rsidRPr="00063C7D" w:rsidRDefault="00944166" w:rsidP="0094416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программой осуществляет координатор программы - управление сельского хозяйства и перерабатывающей промышленности администрации муниципального образования Туапсинский район и иные </w:t>
      </w:r>
      <w:proofErr w:type="gramStart"/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привлекаемые к реализации мероприятий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Координатор программы: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разработку и реализацию программы;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работу по достижению показателей программы;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подготовку предложений по объёмам и источникам финансирования мероприятий программы;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полномочия установленные программой.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ведомственной целевой программы планируется предоставление субсидий малым формам хозяйствования агропромышленного комплекса муниципального образования Туапсинский район по следующим мероприятиям: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строительство теплиц для выращивания овощей защищенного грунта;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приобретение систем капельного орошения для ведения овощеводства;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</w:t>
      </w:r>
      <w:r w:rsidR="00360962">
        <w:rPr>
          <w:rFonts w:ascii="Times New Roman" w:hAnsi="Times New Roman" w:cs="Times New Roman"/>
          <w:color w:val="000000" w:themeColor="text1"/>
          <w:sz w:val="28"/>
          <w:szCs w:val="28"/>
        </w:rPr>
        <w:t>затрат на приобретение кур, в том числе молодняка;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приобретение племенного и товарного скота;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затрат на содержание </w:t>
      </w:r>
      <w:r w:rsidR="00FB540C">
        <w:rPr>
          <w:rFonts w:ascii="Times New Roman" w:hAnsi="Times New Roman" w:cs="Times New Roman"/>
          <w:color w:val="000000" w:themeColor="text1"/>
          <w:sz w:val="28"/>
          <w:szCs w:val="28"/>
        </w:rPr>
        <w:t>дойного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поголовья КРС и </w:t>
      </w:r>
      <w:r w:rsidR="00FB5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маточного поголовья 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МРС;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по наращиванию поголовья коров;</w:t>
      </w:r>
    </w:p>
    <w:p w:rsidR="00944166" w:rsidRPr="00063C7D" w:rsidRDefault="00944166" w:rsidP="0094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приобретение посадочного материала водных биоресурсов</w:t>
      </w:r>
      <w:r w:rsidR="00AA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(карповых и осетровых видов рыб)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4166" w:rsidRPr="00063C7D" w:rsidRDefault="00944166" w:rsidP="009441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технологического оборудования для животноводства и птицеводства;</w:t>
      </w:r>
    </w:p>
    <w:p w:rsidR="00944166" w:rsidRPr="00063C7D" w:rsidRDefault="00944166" w:rsidP="009441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Возмещение части затрат на производство реализуемой продукции животноводства молока;</w:t>
      </w:r>
    </w:p>
    <w:p w:rsidR="00944166" w:rsidRPr="00063C7D" w:rsidRDefault="00944166" w:rsidP="009441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кроликов, гусей, индеек;</w:t>
      </w:r>
    </w:p>
    <w:p w:rsidR="00944166" w:rsidRPr="00063C7D" w:rsidRDefault="00944166" w:rsidP="00377B1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/>
          <w:bCs/>
          <w:sz w:val="28"/>
          <w:szCs w:val="28"/>
        </w:rPr>
        <w:t xml:space="preserve">Осуществление государственных полномочий </w:t>
      </w:r>
      <w:r w:rsidRPr="00063C7D">
        <w:rPr>
          <w:rFonts w:ascii="Times New Roman" w:hAnsi="Times New Roman"/>
          <w:sz w:val="28"/>
          <w:szCs w:val="28"/>
        </w:rPr>
        <w:t>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муниципального образования Туапсинский район.</w:t>
      </w:r>
    </w:p>
    <w:p w:rsidR="00377B1B" w:rsidRPr="00377B1B" w:rsidRDefault="00944166" w:rsidP="00377B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ведомственной целевой программы (приложение 2) разработан на основании Порядка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 (приложение 3)</w:t>
      </w:r>
      <w:r w:rsidR="009C1DCD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субсидирования малых форм хозяйствования 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агропромышленного комплекса муниципального образования Туапсинский район з</w:t>
      </w:r>
      <w:r w:rsidR="00377B1B">
        <w:rPr>
          <w:rFonts w:ascii="Times New Roman" w:hAnsi="Times New Roman" w:cs="Times New Roman"/>
          <w:color w:val="000000" w:themeColor="text1"/>
          <w:sz w:val="28"/>
          <w:szCs w:val="28"/>
        </w:rPr>
        <w:t>а счет средств краевого бюджета</w:t>
      </w:r>
      <w:r w:rsidR="00F57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r w:rsidR="00F5717D">
        <w:rPr>
          <w:rFonts w:ascii="Times New Roman" w:hAnsi="Times New Roman" w:cs="Times New Roman"/>
          <w:sz w:val="28"/>
          <w:szCs w:val="28"/>
        </w:rPr>
        <w:t>п</w:t>
      </w:r>
      <w:r w:rsidR="00377B1B" w:rsidRPr="00377B1B">
        <w:rPr>
          <w:rFonts w:ascii="Times New Roman" w:hAnsi="Times New Roman" w:cs="Times New Roman"/>
          <w:sz w:val="28"/>
          <w:szCs w:val="28"/>
        </w:rPr>
        <w:t>остановление</w:t>
      </w:r>
      <w:r w:rsidR="00F5717D">
        <w:rPr>
          <w:rFonts w:ascii="Times New Roman" w:hAnsi="Times New Roman" w:cs="Times New Roman"/>
          <w:sz w:val="28"/>
          <w:szCs w:val="28"/>
        </w:rPr>
        <w:t>м</w:t>
      </w:r>
      <w:r w:rsidR="00377B1B" w:rsidRPr="00377B1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от </w:t>
      </w:r>
      <w:r w:rsidR="00B00C1F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377B1B" w:rsidRPr="00377B1B">
        <w:rPr>
          <w:rFonts w:ascii="Times New Roman" w:hAnsi="Times New Roman" w:cs="Times New Roman"/>
          <w:sz w:val="28"/>
          <w:szCs w:val="28"/>
        </w:rPr>
        <w:t>5 сентября 2016 г. № 1335 «Об утверждении Порядка</w:t>
      </w:r>
      <w:proofErr w:type="gramEnd"/>
      <w:r w:rsidR="00377B1B" w:rsidRPr="00377B1B">
        <w:rPr>
          <w:rFonts w:ascii="Times New Roman" w:hAnsi="Times New Roman" w:cs="Times New Roman"/>
          <w:sz w:val="28"/>
          <w:szCs w:val="28"/>
        </w:rPr>
        <w:t xml:space="preserve">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 w:rsidR="00377B1B" w:rsidRPr="00377B1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377B1B" w:rsidRPr="00377B1B">
        <w:rPr>
          <w:rFonts w:ascii="Times New Roman" w:hAnsi="Times New Roman" w:cs="Times New Roman"/>
          <w:sz w:val="28"/>
          <w:szCs w:val="28"/>
        </w:rPr>
        <w:t>аевого бюджета»</w:t>
      </w:r>
      <w:r w:rsidR="00377B1B" w:rsidRPr="00377B1B">
        <w:rPr>
          <w:rFonts w:ascii="Times New Roman" w:hAnsi="Times New Roman" w:cs="Times New Roman"/>
          <w:sz w:val="28"/>
          <w:szCs w:val="28"/>
        </w:rPr>
        <w:t>)</w:t>
      </w:r>
    </w:p>
    <w:p w:rsidR="00944166" w:rsidRPr="00377B1B" w:rsidRDefault="00944166" w:rsidP="00377B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Оценка социально-экономической эффективности </w:t>
      </w:r>
      <w:r w:rsidRPr="00063C7D">
        <w:rPr>
          <w:rFonts w:ascii="Times New Roman" w:hAnsi="Times New Roman"/>
          <w:b/>
          <w:color w:val="000000" w:themeColor="text1"/>
          <w:sz w:val="28"/>
          <w:szCs w:val="28"/>
        </w:rPr>
        <w:t>ведомственной целевой программы</w:t>
      </w:r>
    </w:p>
    <w:p w:rsidR="00944166" w:rsidRPr="00063C7D" w:rsidRDefault="00944166" w:rsidP="00944166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позволит: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уровень занятости экономически активного населения, а также улучшить материальное положение жителей села;</w:t>
      </w: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обеспеченность населения и предприятий санаторно-курортного комплекса  района продукцией местного производителя;</w:t>
      </w: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укрепить организационно-правовое положение малых форм хозяйствования в АПК и их материально-техническую базу;</w:t>
      </w: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экономическую эффективность производства сельскохозяйственной продукции в малых формах хозяйствования в АПК.</w:t>
      </w: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63C7D">
        <w:rPr>
          <w:rFonts w:ascii="Times New Roman" w:hAnsi="Times New Roman" w:cs="Times New Roman"/>
          <w:sz w:val="28"/>
          <w:szCs w:val="28"/>
        </w:rPr>
        <w:t>Оценка эффективности реализации ведомственной целевой программы осуществляется в соответствии с методикой оценки эффективности утвержденной постановлением от</w:t>
      </w:r>
      <w:r w:rsidRPr="00063C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C7D">
        <w:rPr>
          <w:rFonts w:ascii="Times New Roman" w:hAnsi="Times New Roman" w:cs="Times New Roman"/>
          <w:sz w:val="28"/>
          <w:szCs w:val="28"/>
        </w:rPr>
        <w:t>21 июля 2015 г. № 1844 «Об утверждении порядка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район».</w:t>
      </w:r>
    </w:p>
    <w:p w:rsidR="00944166" w:rsidRPr="00063C7D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r w:rsidRPr="00063C7D">
        <w:rPr>
          <w:rFonts w:ascii="Times New Roman" w:hAnsi="Times New Roman"/>
          <w:color w:val="000000" w:themeColor="text1"/>
          <w:sz w:val="28"/>
          <w:szCs w:val="28"/>
        </w:rPr>
        <w:t>ведомственной целевой программы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стимулировать рост сельскохозяйственного производства по основным видам продукции, производимой сельскохозяйственными производителями всех форм собственности, а также обеспечит дополнительные поступления налоговых доходов в бюджеты всех уровней от реализации сельскохозяйственной продукции, закупленной в малых формах хозяйствования.  </w:t>
      </w:r>
    </w:p>
    <w:p w:rsidR="00944166" w:rsidRDefault="00944166" w:rsidP="00944166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4166" w:rsidRPr="00063C7D" w:rsidRDefault="00944166" w:rsidP="00377B1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4166" w:rsidRPr="00063C7D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сельского 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хозяйства и перерабатывающей 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промышленности администрации </w:t>
      </w:r>
    </w:p>
    <w:p w:rsidR="00944166" w:rsidRPr="00063C7D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944166" w:rsidRPr="000F3EDE" w:rsidRDefault="00944166" w:rsidP="009441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Туапсинский район                                                                 </w:t>
      </w:r>
      <w:r w:rsidR="008A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6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А.Н. Бухинник</w:t>
      </w:r>
    </w:p>
    <w:p w:rsidR="00944166" w:rsidRDefault="00944166" w:rsidP="008A579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579C" w:rsidRDefault="008A579C" w:rsidP="008A579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5E1A" w:rsidRDefault="00735E1A"/>
    <w:sectPr w:rsidR="00735E1A" w:rsidSect="0058721B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A3" w:rsidRDefault="006509A3">
      <w:pPr>
        <w:spacing w:after="0" w:line="240" w:lineRule="auto"/>
      </w:pPr>
      <w:r>
        <w:separator/>
      </w:r>
    </w:p>
  </w:endnote>
  <w:endnote w:type="continuationSeparator" w:id="0">
    <w:p w:rsidR="006509A3" w:rsidRDefault="0065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A3" w:rsidRDefault="006509A3">
      <w:pPr>
        <w:spacing w:after="0" w:line="240" w:lineRule="auto"/>
      </w:pPr>
      <w:r>
        <w:separator/>
      </w:r>
    </w:p>
  </w:footnote>
  <w:footnote w:type="continuationSeparator" w:id="0">
    <w:p w:rsidR="006509A3" w:rsidRDefault="0065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69" w:rsidRDefault="009441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24769" w:rsidRDefault="00650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305987"/>
      <w:docPartObj>
        <w:docPartGallery w:val="Page Numbers (Top of Page)"/>
        <w:docPartUnique/>
      </w:docPartObj>
    </w:sdtPr>
    <w:sdtEndPr/>
    <w:sdtContent>
      <w:p w:rsidR="0058721B" w:rsidRDefault="005872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1F" w:rsidRPr="00B00C1F">
          <w:rPr>
            <w:noProof/>
            <w:lang w:val="ru-RU"/>
          </w:rPr>
          <w:t>7</w:t>
        </w:r>
        <w:r>
          <w:fldChar w:fldCharType="end"/>
        </w:r>
      </w:p>
    </w:sdtContent>
  </w:sdt>
  <w:p w:rsidR="00224769" w:rsidRPr="00DD694C" w:rsidRDefault="006509A3" w:rsidP="00DD694C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302042"/>
      <w:docPartObj>
        <w:docPartGallery w:val="Page Numbers (Margins)"/>
        <w:docPartUnique/>
      </w:docPartObj>
    </w:sdtPr>
    <w:sdtEndPr/>
    <w:sdtContent>
      <w:p w:rsidR="00717493" w:rsidRDefault="004170D4">
        <w:pPr>
          <w:pStyle w:val="a3"/>
        </w:pPr>
        <w:r>
          <w:rPr>
            <w:noProof/>
            <w:lang w:val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70D4" w:rsidRDefault="004170D4" w:rsidP="004170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4170D4" w:rsidRDefault="004170D4" w:rsidP="004170D4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94"/>
    <w:rsid w:val="00063C7D"/>
    <w:rsid w:val="00146A29"/>
    <w:rsid w:val="001D5228"/>
    <w:rsid w:val="00281C3C"/>
    <w:rsid w:val="00290F05"/>
    <w:rsid w:val="002E7E57"/>
    <w:rsid w:val="00360962"/>
    <w:rsid w:val="00377B1B"/>
    <w:rsid w:val="004170D4"/>
    <w:rsid w:val="00544D20"/>
    <w:rsid w:val="00573B8A"/>
    <w:rsid w:val="0058721B"/>
    <w:rsid w:val="006509A3"/>
    <w:rsid w:val="00687C1B"/>
    <w:rsid w:val="006F09AD"/>
    <w:rsid w:val="00717493"/>
    <w:rsid w:val="00735E1A"/>
    <w:rsid w:val="008A579C"/>
    <w:rsid w:val="00925291"/>
    <w:rsid w:val="00944166"/>
    <w:rsid w:val="00953D94"/>
    <w:rsid w:val="00973428"/>
    <w:rsid w:val="009C1DCD"/>
    <w:rsid w:val="009E379D"/>
    <w:rsid w:val="00A501D1"/>
    <w:rsid w:val="00AA5967"/>
    <w:rsid w:val="00B00C1F"/>
    <w:rsid w:val="00B97B14"/>
    <w:rsid w:val="00BE0150"/>
    <w:rsid w:val="00C64994"/>
    <w:rsid w:val="00C95B0D"/>
    <w:rsid w:val="00DD694C"/>
    <w:rsid w:val="00EA61BE"/>
    <w:rsid w:val="00EF337F"/>
    <w:rsid w:val="00F5717D"/>
    <w:rsid w:val="00FB17A0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1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44166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page number"/>
    <w:basedOn w:val="a0"/>
    <w:rsid w:val="00944166"/>
  </w:style>
  <w:style w:type="paragraph" w:customStyle="1" w:styleId="ConsPlusNormal">
    <w:name w:val="ConsPlusNormal"/>
    <w:link w:val="ConsPlusNormal0"/>
    <w:rsid w:val="00944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4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4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94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49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1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1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44166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page number"/>
    <w:basedOn w:val="a0"/>
    <w:rsid w:val="00944166"/>
  </w:style>
  <w:style w:type="paragraph" w:customStyle="1" w:styleId="ConsPlusNormal">
    <w:name w:val="ConsPlusNormal"/>
    <w:link w:val="ConsPlusNormal0"/>
    <w:rsid w:val="00944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4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4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94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49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1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1F76-9B02-48EB-8748-F9EE275C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2021-07-20T12:48:00Z</cp:lastPrinted>
  <dcterms:created xsi:type="dcterms:W3CDTF">2021-07-20T06:55:00Z</dcterms:created>
  <dcterms:modified xsi:type="dcterms:W3CDTF">2021-08-31T11:57:00Z</dcterms:modified>
</cp:coreProperties>
</file>