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85" w:type="dxa"/>
        <w:tblInd w:w="4989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485"/>
      </w:tblGrid>
      <w:tr w:rsidR="00660B63">
        <w:tc>
          <w:tcPr>
            <w:tcW w:w="4485" w:type="dxa"/>
            <w:shd w:val="clear" w:color="auto" w:fill="auto"/>
          </w:tcPr>
          <w:p w:rsidR="00660B63" w:rsidRDefault="00DB2B43">
            <w:pPr>
              <w:spacing w:after="0" w:line="240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ачальнику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хозяйства и перерабатывающей промышленности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</w:p>
          <w:p w:rsidR="00660B63" w:rsidRDefault="00DB2B43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660B63" w:rsidRDefault="00DB2B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Туапсинский район </w:t>
            </w:r>
          </w:p>
          <w:p w:rsidR="00660B63" w:rsidRDefault="00660B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B63" w:rsidRDefault="00DB2B4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Бухиннику</w:t>
            </w:r>
            <w:proofErr w:type="spellEnd"/>
          </w:p>
        </w:tc>
      </w:tr>
    </w:tbl>
    <w:p w:rsidR="00660B63" w:rsidRDefault="00DB2B43">
      <w:pPr>
        <w:pStyle w:val="ConsPlusNonformat"/>
      </w:pPr>
      <w:r>
        <w:rPr>
          <w:rFonts w:ascii="Times New Roman" w:hAnsi="Times New Roman" w:cs="Times New Roman"/>
          <w:color w:val="FFFFFF"/>
          <w:sz w:val="28"/>
          <w:szCs w:val="28"/>
        </w:rPr>
        <w:t>образования город Краснодар</w:t>
      </w:r>
    </w:p>
    <w:p w:rsidR="00660B63" w:rsidRDefault="00660B6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60B63" w:rsidRDefault="00DB2B43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660B63" w:rsidRDefault="00DB2B43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660B63" w:rsidRDefault="00DB2B43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Туапсинский район»</w:t>
      </w:r>
    </w:p>
    <w:p w:rsidR="00660B63" w:rsidRDefault="00660B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60B63" w:rsidRDefault="00DB2B43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Управление экономического развития администрации муниципального образования Туапсинский район как уполномоченный орган по проведению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муниципальных нормативных правовых актов муниципального образования Туапсинский р</w:t>
      </w:r>
      <w:r>
        <w:rPr>
          <w:rFonts w:ascii="Times New Roman" w:hAnsi="Times New Roman" w:cs="Times New Roman"/>
          <w:sz w:val="28"/>
          <w:szCs w:val="28"/>
        </w:rPr>
        <w:t xml:space="preserve">айон,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(далее – Уполномоченный орган) рассмотрел поступивший 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г. проект </w:t>
      </w:r>
      <w:r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</w:t>
      </w:r>
      <w:bookmarkStart w:id="1" w:name="__DdeLink__4944_2094389846"/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Туапсинский район»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 xml:space="preserve">), направленный для подготовки настоящего Заключения, </w:t>
      </w:r>
      <w:r>
        <w:rPr>
          <w:rFonts w:ascii="Times New Roman" w:hAnsi="Times New Roman" w:cs="Times New Roman"/>
          <w:sz w:val="28"/>
          <w:szCs w:val="28"/>
        </w:rPr>
        <w:t>управлением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DejaVu Sans"/>
          <w:sz w:val="28"/>
          <w:szCs w:val="28"/>
          <w:lang w:eastAsia="en-US"/>
        </w:rPr>
        <w:t xml:space="preserve">сельского хозяйства и перерабатывающей промышленности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Туапсинский район (далее - </w:t>
      </w:r>
      <w:r>
        <w:rPr>
          <w:rFonts w:ascii="Times New Roman" w:hAnsi="Times New Roman" w:cs="Times New Roman"/>
          <w:sz w:val="28"/>
          <w:szCs w:val="28"/>
        </w:rPr>
        <w:t>Регулирующий орган</w:t>
      </w:r>
      <w:r>
        <w:rPr>
          <w:rFonts w:ascii="Times New Roman" w:hAnsi="Times New Roman" w:cs="Times New Roman"/>
          <w:sz w:val="28"/>
          <w:szCs w:val="28"/>
        </w:rPr>
        <w:t>), и сообщает следующее.</w:t>
      </w:r>
      <w:proofErr w:type="gramEnd"/>
    </w:p>
    <w:p w:rsidR="00660B63" w:rsidRDefault="00DB2B43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</w:t>
      </w:r>
      <w:r>
        <w:rPr>
          <w:rFonts w:ascii="Times New Roman" w:hAnsi="Times New Roman" w:cs="Times New Roman"/>
          <w:sz w:val="28"/>
          <w:szCs w:val="28"/>
        </w:rPr>
        <w:t>ком проведения оценки регулирующего воздействия проектов муниципальных нормативных правовых актов муниципального образования Туапсинский район, устанавливающих новые или изменяющих ранее предусмотренные муниципальными нормативными правовыми актами обязанно</w:t>
      </w:r>
      <w:r>
        <w:rPr>
          <w:rFonts w:ascii="Times New Roman" w:hAnsi="Times New Roman" w:cs="Times New Roman"/>
          <w:sz w:val="28"/>
          <w:szCs w:val="28"/>
        </w:rPr>
        <w:t>сти для субъектов предпринимательской и инвестиционной деятельности, утвержденным постановлением администрации муниципального образования Туапсинский район от 15.10.2015г. №2418 (далее - Порядок) проект подлежит проведению оценки регулирующего воздействия.</w:t>
      </w:r>
      <w:proofErr w:type="gramEnd"/>
    </w:p>
    <w:p w:rsidR="00660B63" w:rsidRDefault="00DB2B43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положения, имеющие высокую степень регулирующего воздействия.                                                          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Порядка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2" w:name="__DdeLink__1196_1787969864"/>
      <w:r>
        <w:rPr>
          <w:rFonts w:ascii="Times New Roman" w:hAnsi="Times New Roman" w:cs="Times New Roman"/>
          <w:sz w:val="28"/>
          <w:szCs w:val="28"/>
        </w:rPr>
        <w:t>егулирующим органом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 соблюдены.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 </w:t>
      </w: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оценки регулирующего воздействия впервые.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660B63" w:rsidRDefault="00DB2B43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 анализ результатов исследований, проводимых регулирующим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</w:t>
      </w:r>
      <w:r>
        <w:rPr>
          <w:rFonts w:ascii="Times New Roman" w:hAnsi="Times New Roman" w:cs="Times New Roman"/>
          <w:sz w:val="28"/>
          <w:szCs w:val="28"/>
        </w:rPr>
        <w:t>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Разработчиком предложен один вариант правового регулиров</w:t>
      </w:r>
      <w:r>
        <w:rPr>
          <w:rFonts w:ascii="Times New Roman" w:hAnsi="Times New Roman"/>
          <w:sz w:val="28"/>
          <w:szCs w:val="28"/>
        </w:rPr>
        <w:t xml:space="preserve">ания - принятие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Туапсинский район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Туапсинский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качестве альтернативы ра</w:t>
      </w:r>
      <w:r>
        <w:rPr>
          <w:rFonts w:ascii="Times New Roman" w:hAnsi="Times New Roman" w:cs="Times New Roman"/>
          <w:sz w:val="28"/>
          <w:szCs w:val="28"/>
        </w:rPr>
        <w:t>ссмотрен вариант непринятия муниципального нормативного правового акта.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Проведено сравнение указанных вариантов правового регулирования. Выбор варианта правового регулирования сделан исходя из оценки возможности достижения заявленной цели регулирования и о</w:t>
      </w:r>
      <w:r>
        <w:rPr>
          <w:rFonts w:ascii="Times New Roman" w:hAnsi="Times New Roman" w:cs="Times New Roman"/>
          <w:sz w:val="28"/>
          <w:szCs w:val="28"/>
        </w:rPr>
        <w:t xml:space="preserve">ценки рисков наступления неблагоприятных последствий. 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Проведена оценка эффективности предл</w:t>
      </w:r>
      <w:r>
        <w:rPr>
          <w:rFonts w:ascii="Times New Roman" w:hAnsi="Times New Roman" w:cs="Times New Roman"/>
          <w:sz w:val="28"/>
          <w:szCs w:val="28"/>
        </w:rPr>
        <w:t>агаемого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bookmarkStart w:id="3" w:name="__DdeLink__16343_2062801542"/>
      <w:r>
        <w:rPr>
          <w:rFonts w:ascii="Times New Roman" w:hAnsi="Times New Roman" w:cs="Times New Roman"/>
          <w:sz w:val="28"/>
          <w:szCs w:val="28"/>
        </w:rPr>
        <w:t>егулирующим органом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варианта правового регулирования, основанн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</w:t>
      </w:r>
    </w:p>
    <w:p w:rsidR="00660B63" w:rsidRDefault="00DB2B43">
      <w:pPr>
        <w:pStyle w:val="ConsPlusNormal"/>
        <w:ind w:firstLine="709"/>
        <w:jc w:val="both"/>
        <w:rPr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точность формулировки выявленной проблемы обозначена, верно;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</w:t>
      </w:r>
      <w:r>
        <w:rPr>
          <w:rFonts w:ascii="Times New Roman" w:hAnsi="Times New Roman" w:cs="Times New Roman"/>
          <w:sz w:val="28"/>
          <w:szCs w:val="28"/>
        </w:rPr>
        <w:t xml:space="preserve">равового регулирования и динамики их численности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приведена;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регулирующим органом определены потенциальные адресаты предлагаемого правового регулир</w:t>
      </w:r>
      <w:r>
        <w:rPr>
          <w:rFonts w:ascii="Times New Roman" w:hAnsi="Times New Roman" w:cs="Times New Roman"/>
          <w:sz w:val="28"/>
          <w:szCs w:val="28"/>
        </w:rPr>
        <w:t>ования:</w:t>
      </w:r>
    </w:p>
    <w:p w:rsidR="00660B63" w:rsidRDefault="00DB2B43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хозяйства, зарегистрированные и осуществляющие деятельность в области производства сельскохозяйственной продукции на территории муниципального образования Туапсинский район;</w:t>
      </w:r>
    </w:p>
    <w:p w:rsidR="00660B63" w:rsidRDefault="00DB2B43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сельс</w:t>
      </w:r>
      <w:r>
        <w:rPr>
          <w:rFonts w:ascii="Times New Roman" w:hAnsi="Times New Roman" w:cs="Times New Roman"/>
          <w:sz w:val="28"/>
          <w:szCs w:val="28"/>
        </w:rPr>
        <w:t>кохозяйственными товаропроизводителями, отвечающие требованиям Федерального закона  от 29 декабря 2006 г. № 264-ФЗ «О развитии сельского хозяйства»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 января текущего года</w:t>
      </w:r>
      <w:r>
        <w:rPr>
          <w:rFonts w:ascii="Times New Roman" w:hAnsi="Times New Roman" w:cs="Times New Roman"/>
          <w:sz w:val="28"/>
          <w:szCs w:val="28"/>
        </w:rPr>
        <w:t xml:space="preserve">, а также индивидуальные предприниматели, зарегистрированные и осуществляющие свою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 менее 1 года и имеющие соответствующий вид деятельности в соответствии с Общероссийским классификатором по видам экономической деятельности (ОКПД2)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034-2014 (КПЕС 2008) – Раздел А. «Продукция сельского, лесного и рыбного хозяйства»;</w:t>
      </w:r>
    </w:p>
    <w:p w:rsidR="00660B63" w:rsidRDefault="00DB2B43">
      <w:pPr>
        <w:tabs>
          <w:tab w:val="left" w:pos="709"/>
        </w:tabs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граждан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е, проживающие на территории муниципального образования Туапсинского района 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ведущие личное подсобное хозяйство на земельных участках, предоставленных для ведения личного подсобного хозяйства на территории муниципального образования Туапсинский район.</w:t>
      </w:r>
      <w:bookmarkStart w:id="4" w:name="__DdeLink__1181_2894116329"/>
      <w:bookmarkEnd w:id="4"/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 xml:space="preserve">ичественная оценка потенциальной группы адресатов - не определена,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связи с тем, что регулирование носит заявительный характер;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мнению Регулирующего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п</w:t>
      </w:r>
      <w:r>
        <w:rPr>
          <w:rFonts w:ascii="Times New Roman" w:hAnsi="Times New Roman" w:cs="Times New Roman"/>
          <w:sz w:val="28"/>
          <w:szCs w:val="28"/>
        </w:rPr>
        <w:t>ри этом последующий мониторинг их достижения возможен;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оценка Регулирующим органом дополнительных расходов и доходов потенциальных адресатов предлагаемого правового регулирования и</w:t>
      </w:r>
      <w:r>
        <w:rPr>
          <w:rFonts w:ascii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(бюджета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>я Туапсинский район)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связанных с введением предлагаемого правового регулирования,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корректна - не предполагается.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Регулирующим органом выявлены все возможные р</w:t>
      </w:r>
      <w:r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качестве альтернативного варианта правового регулирования </w:t>
      </w:r>
      <w:r>
        <w:rPr>
          <w:rFonts w:ascii="Times New Roman" w:hAnsi="Times New Roman" w:cs="Times New Roman"/>
          <w:sz w:val="28"/>
          <w:szCs w:val="28"/>
        </w:rPr>
        <w:t>Регулирующим органом</w:t>
      </w:r>
      <w:r>
        <w:rPr>
          <w:rFonts w:ascii="Times New Roman" w:hAnsi="Times New Roman" w:cs="Times New Roman"/>
          <w:sz w:val="28"/>
          <w:szCs w:val="28"/>
        </w:rPr>
        <w:t xml:space="preserve"> рассмотрен вариант непринятия му</w:t>
      </w:r>
      <w:r>
        <w:rPr>
          <w:rFonts w:ascii="Times New Roman" w:hAnsi="Times New Roman" w:cs="Times New Roman"/>
          <w:sz w:val="28"/>
          <w:szCs w:val="28"/>
        </w:rPr>
        <w:t xml:space="preserve">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</w:t>
      </w:r>
      <w:r>
        <w:rPr>
          <w:rFonts w:ascii="Times New Roman" w:hAnsi="Times New Roman" w:cs="Times New Roman"/>
          <w:sz w:val="28"/>
          <w:szCs w:val="28"/>
        </w:rPr>
        <w:t>последствий.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</w:t>
      </w:r>
      <w:r>
        <w:rPr>
          <w:rFonts w:ascii="Times New Roman" w:hAnsi="Times New Roman" w:cs="Times New Roman"/>
          <w:sz w:val="28"/>
          <w:szCs w:val="28"/>
        </w:rPr>
        <w:t>едующее: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ascii="Times New Roman" w:hAnsi="Times New Roman" w:cs="Times New Roman"/>
          <w:sz w:val="28"/>
          <w:szCs w:val="28"/>
        </w:rPr>
        <w:t>являются:</w:t>
      </w:r>
    </w:p>
    <w:p w:rsidR="00660B63" w:rsidRDefault="00DB2B43">
      <w:pPr>
        <w:tabs>
          <w:tab w:val="left" w:pos="709"/>
        </w:tabs>
        <w:spacing w:after="0" w:line="240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крестьянские (фермерские) хозяйства, зарегистрированные и осуществляющие деятельность в области производства сельскохозя</w:t>
      </w:r>
      <w:r>
        <w:rPr>
          <w:rFonts w:ascii="Times New Roman" w:hAnsi="Times New Roman" w:cs="Times New Roman"/>
          <w:sz w:val="28"/>
          <w:szCs w:val="28"/>
        </w:rPr>
        <w:t>йственной продукции на территории муниципального образования Туапсинский район;</w:t>
      </w:r>
    </w:p>
    <w:p w:rsidR="00660B63" w:rsidRDefault="00DB2B43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сельскохозяйственными товаропроизводителями, отвечающие требованиям Федерального закона  от 29 декабря 2006 г. № 264-ФЗ «О развитии с</w:t>
      </w:r>
      <w:r>
        <w:rPr>
          <w:rFonts w:ascii="Times New Roman" w:hAnsi="Times New Roman" w:cs="Times New Roman"/>
          <w:sz w:val="28"/>
          <w:szCs w:val="28"/>
        </w:rPr>
        <w:t>ельского хозяйства»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1 января текущего года</w:t>
      </w:r>
      <w:r>
        <w:rPr>
          <w:rFonts w:ascii="Times New Roman" w:hAnsi="Times New Roman" w:cs="Times New Roman"/>
          <w:sz w:val="28"/>
          <w:szCs w:val="28"/>
        </w:rPr>
        <w:t>, а также индивидуальные предприниматели, зарегистрированные и осуществляющие свою деятельность менее 1 года и имеющие соответствующий вид деятельности в соответствии с Общероссийским классификатором по видам эк</w:t>
      </w:r>
      <w:r>
        <w:rPr>
          <w:rFonts w:ascii="Times New Roman" w:hAnsi="Times New Roman" w:cs="Times New Roman"/>
          <w:sz w:val="28"/>
          <w:szCs w:val="28"/>
        </w:rPr>
        <w:t xml:space="preserve">ономической деятельности (ОКПД2)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034-2014 (КПЕС 2008) – Раздел А. «Продукция сельского, лесного и рыбного хозяйства»;</w:t>
      </w:r>
    </w:p>
    <w:p w:rsidR="00660B63" w:rsidRDefault="00DB2B43">
      <w:pPr>
        <w:tabs>
          <w:tab w:val="left" w:pos="709"/>
        </w:tabs>
        <w:suppressAutoHyphens/>
        <w:spacing w:after="0" w:line="240" w:lineRule="auto"/>
        <w:ind w:firstLine="709"/>
        <w:jc w:val="both"/>
        <w:outlineLvl w:val="1"/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граждане, проживающие на территории муниципального образования Туапсинского района и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ведущие личное подсобное хозяйство на земельных </w:t>
      </w:r>
      <w:r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участках, предоставленных для ведения личного подсобного хозяйства на территории муниципального образования Туапсинский район.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предлагаемое проектом правовое регулирование, заключается в невозможности оказания </w:t>
      </w:r>
      <w:r>
        <w:rPr>
          <w:rFonts w:ascii="Times New Roman" w:hAnsi="Times New Roman" w:cs="Times New Roman"/>
          <w:sz w:val="28"/>
          <w:szCs w:val="28"/>
        </w:rPr>
        <w:t>господдержки сельхозпроизводителям, осуществляющим деятельность на территории муниципального образования Туапсинский район, за счет субвенций, предоставляемых местному бюджету (бюджету муниципального образования Туапсинский район) из краевого бюджета.</w:t>
      </w:r>
    </w:p>
    <w:p w:rsidR="00660B63" w:rsidRDefault="00DB2B43">
      <w:pPr>
        <w:pStyle w:val="ConsPlusNormal"/>
        <w:ind w:firstLine="709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Так,</w:t>
      </w:r>
      <w:r>
        <w:rPr>
          <w:rFonts w:ascii="Times New Roman" w:hAnsi="Times New Roman" w:cs="Times New Roman"/>
          <w:sz w:val="28"/>
          <w:szCs w:val="28"/>
        </w:rPr>
        <w:t xml:space="preserve"> для дальнейшего развития и наращивания темпов производства продукции животноводства и растениеводства необходима реализация мероприятий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Туапсинс</w:t>
      </w:r>
      <w:r>
        <w:rPr>
          <w:rFonts w:ascii="Times New Roman" w:hAnsi="Times New Roman" w:cs="Times New Roman"/>
          <w:sz w:val="28"/>
          <w:szCs w:val="28"/>
        </w:rPr>
        <w:t>кий район» предусматривающей оказание мер государственной поддержки крестьянским (фермерским) хозяйствам, индивидуальным предпринимателям, ведущим деятельность в области сельскохозяйственного производства, и личным подсобным хозяйствам на поддержку  сельск</w:t>
      </w:r>
      <w:r>
        <w:rPr>
          <w:rFonts w:ascii="Times New Roman" w:hAnsi="Times New Roman" w:cs="Times New Roman"/>
          <w:sz w:val="28"/>
          <w:szCs w:val="28"/>
        </w:rPr>
        <w:t>охозяйственного производства в целях:</w:t>
      </w:r>
      <w:proofErr w:type="gramEnd"/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строительство теплиц для выращивания овощей защищенного грунта;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приобретение систем капельного орошения для ведения овощеводства;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тение кур, в том числе молодняка;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приобретение племенного и товарного скота;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на содержание дойного поголовья КРС и маточного поголовья МРС;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возмещение части затрат по наращиванию поголовья коров;</w:t>
      </w:r>
    </w:p>
    <w:p w:rsidR="00660B63" w:rsidRDefault="00DB2B4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части затрат на приобретение посадочного материала водных биоресурсов (карповых и осетровых видов рыб);</w:t>
      </w:r>
    </w:p>
    <w:p w:rsidR="00660B63" w:rsidRDefault="00DB2B43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технологического оборудования для животноводства и птицеводства;</w:t>
      </w:r>
    </w:p>
    <w:p w:rsidR="00660B63" w:rsidRDefault="00DB2B43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возмещение части затрат на производство реали</w:t>
      </w:r>
      <w:r>
        <w:rPr>
          <w:rFonts w:ascii="Times New Roman" w:hAnsi="Times New Roman" w:cs="Times New Roman"/>
          <w:sz w:val="28"/>
          <w:szCs w:val="28"/>
        </w:rPr>
        <w:t>зуемой продукции животноводства молока;</w:t>
      </w:r>
    </w:p>
    <w:p w:rsidR="00660B63" w:rsidRDefault="00DB2B43">
      <w:pPr>
        <w:pStyle w:val="ConsPlusNormal"/>
        <w:ind w:firstLine="709"/>
        <w:jc w:val="both"/>
        <w:outlineLvl w:val="1"/>
      </w:pPr>
      <w:r>
        <w:rPr>
          <w:rFonts w:ascii="Times New Roman" w:hAnsi="Times New Roman" w:cs="Times New Roman"/>
          <w:sz w:val="28"/>
          <w:szCs w:val="28"/>
        </w:rPr>
        <w:t>возмещение части затрат на приобретение кроликов, гусей, индеек;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осуществление государственных полномочий </w:t>
      </w:r>
      <w:r>
        <w:rPr>
          <w:rFonts w:ascii="Times New Roman" w:hAnsi="Times New Roman" w:cs="Times New Roman"/>
          <w:sz w:val="28"/>
          <w:szCs w:val="28"/>
        </w:rPr>
        <w:t>в области обращения с животными, предусмотренными законодательством в области обращения с животными, в том чис</w:t>
      </w:r>
      <w:r>
        <w:rPr>
          <w:rFonts w:ascii="Times New Roman" w:hAnsi="Times New Roman" w:cs="Times New Roman"/>
          <w:sz w:val="28"/>
          <w:szCs w:val="28"/>
        </w:rPr>
        <w:t>ле организации мероприятий при осуществлении деятельности по обращению с животными без владельцев на территории муниципального образования Туапсинский район.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Программой (в действующей на настоящий момент редакции) реализация мер финансовой</w:t>
      </w:r>
      <w:r>
        <w:rPr>
          <w:rFonts w:ascii="Times New Roman" w:hAnsi="Times New Roman" w:cs="Times New Roman"/>
          <w:sz w:val="28"/>
          <w:szCs w:val="28"/>
        </w:rPr>
        <w:t xml:space="preserve"> поддержки, предоставляемых за счет субвенций из краевого бюджета в виде субсидий из                                                                                                                                                                     местног</w:t>
      </w:r>
      <w:r>
        <w:rPr>
          <w:rFonts w:ascii="Times New Roman" w:hAnsi="Times New Roman" w:cs="Times New Roman"/>
          <w:sz w:val="28"/>
          <w:szCs w:val="28"/>
        </w:rPr>
        <w:t>о бюджета (бюджета муниципального образования Туапсинский район) предусмотренных Программой, осуществляется в соответствующих порядках, утвержденных постановлениями администрации муниципального образования Туапсинский район.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 настоящее время в муниципал</w:t>
      </w:r>
      <w:r>
        <w:rPr>
          <w:rFonts w:ascii="Times New Roman" w:hAnsi="Times New Roman" w:cs="Times New Roman"/>
          <w:sz w:val="28"/>
          <w:szCs w:val="28"/>
        </w:rPr>
        <w:t>ьном образовании Туапсинский район действуют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</w:t>
      </w:r>
      <w:r>
        <w:rPr>
          <w:rFonts w:ascii="Times New Roman" w:hAnsi="Times New Roman" w:cs="Times New Roman"/>
          <w:sz w:val="28"/>
          <w:szCs w:val="28"/>
        </w:rPr>
        <w:t>лей:</w:t>
      </w:r>
    </w:p>
    <w:p w:rsidR="00660B63" w:rsidRDefault="00DB2B43">
      <w:pPr>
        <w:pStyle w:val="ConsPlusNormal"/>
        <w:widowControl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11 июня 2003 г. № 74-ФЗ «О крестьянском (фермерском) хозяйстве»; 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закон Краснодарского края от 28 января 2009 г.  № 1690-КЗ «О развитии сельского хозяйства  в Краснодарском крае»;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статья 78 Бюджетного кодекса Российской Федера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ции;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постановление главы администрации (губернатора) Краснодарского края от 05.10.2015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довольствия»;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решение Совета муниципального образования  Туапсинский район от 25 декабря 2020 г. «О бюджете муниципального образования Туапсинский район на 2021 год и на плановый период 2022 и 2023 годов»;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Туапсинский район от 21 июля    2015 г. № 1845 «Порядок разработки, утверждения и реализации ведомственных целевых программ муниципального образования Туапсинский район».</w:t>
      </w:r>
    </w:p>
    <w:p w:rsidR="00660B63" w:rsidRDefault="00DB2B43">
      <w:pPr>
        <w:pStyle w:val="ConsPlusNormal"/>
        <w:widowControl/>
        <w:ind w:firstLine="73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Исходя из вышеизложенного, и учитывая отсутствие правового регулирования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рассматриваемой сфере, предусмотренное проектом правовое регулирование иными правовыми, информационными или организационными средствами не представляется возможным.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Цель предлагаемого </w:t>
      </w:r>
      <w:r>
        <w:rPr>
          <w:rFonts w:ascii="Times New Roman" w:hAnsi="Times New Roman" w:cs="Times New Roman"/>
          <w:sz w:val="28"/>
          <w:szCs w:val="28"/>
        </w:rPr>
        <w:t>правового регулирования соответствует принципам правового регулиров</w:t>
      </w:r>
      <w:r>
        <w:rPr>
          <w:rFonts w:ascii="Times New Roman" w:hAnsi="Times New Roman" w:cs="Times New Roman"/>
          <w:sz w:val="28"/>
          <w:szCs w:val="28"/>
        </w:rPr>
        <w:t>ания, установленным законодательством Российской Федерации и Краснодарского края и заключается в увеличении объема производства молока и мяса, улучшения генетического потенциала стада, увеличения поголовья племенных и товарных сельскохозяйственных животных</w:t>
      </w:r>
      <w:r>
        <w:rPr>
          <w:rFonts w:ascii="Times New Roman" w:hAnsi="Times New Roman" w:cs="Times New Roman"/>
          <w:sz w:val="28"/>
          <w:szCs w:val="28"/>
        </w:rPr>
        <w:t>, увеличении площади теплиц для ведения овощеводства защищенного грунта, увеличении приобретенных систем капельного полива, организация мероприятий при осуществлении деятельности по обращению с животными без владельцев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>ния Туапсинский район.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Данные показатели будут достигнуты как за счет мероприятий из данного проекта программы также путем привлечения государственной поддержки,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главы администрации (губернатора) Краснодарского края от 05.10.2015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 Проектом предусмотрены положения, которыми изменяется содержание прав и обя</w:t>
      </w:r>
      <w:r>
        <w:rPr>
          <w:rFonts w:ascii="Times New Roman" w:hAnsi="Times New Roman" w:cs="Times New Roman"/>
          <w:sz w:val="28"/>
          <w:szCs w:val="28"/>
        </w:rPr>
        <w:t>занностей потенциальных адресатов правового регулирования в части соблюдения условий и представления документов в целях получения финансовой поддержки за счет средств местного бюджета (бюджета муниципального образования Туапсинский район) в виде субсидий.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и порядок реализации полномочий муниципального образования Туапсинский район в отношениях с указанными лицами изменяются в части предоставления/не предоставления вышеуказанных субсидий. 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 Возможные риски не достижения целей правового регулиров</w:t>
      </w:r>
      <w:r>
        <w:rPr>
          <w:rFonts w:ascii="Times New Roman" w:hAnsi="Times New Roman" w:cs="Times New Roman"/>
          <w:sz w:val="28"/>
          <w:szCs w:val="28"/>
        </w:rPr>
        <w:t xml:space="preserve">ания, а также возможные негативные последствия от введения правового регулирования для экономического развития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6. Возможные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асходы местного бюджета (бюджета муниципального образования Туапсинский р</w:t>
      </w:r>
      <w:r>
        <w:rPr>
          <w:rFonts w:ascii="Times New Roman" w:hAnsi="Times New Roman" w:cs="Times New Roman"/>
          <w:sz w:val="28"/>
          <w:szCs w:val="28"/>
        </w:rPr>
        <w:t xml:space="preserve">айон), </w:t>
      </w:r>
      <w:r>
        <w:rPr>
          <w:rFonts w:ascii="Times New Roman" w:hAnsi="Times New Roman" w:cs="Times New Roman"/>
          <w:sz w:val="28"/>
          <w:szCs w:val="28"/>
        </w:rPr>
        <w:t xml:space="preserve">понесенные от регулирующего воздействия предлагаемого проекта муниципального нормативного правового акта, будут производиться в рамках муниципальной программы муниципального образования Туапсинский район </w:t>
      </w:r>
      <w:r>
        <w:rPr>
          <w:rFonts w:ascii="Times New Roman" w:hAnsi="Times New Roman" w:cs="Times New Roman"/>
          <w:sz w:val="28"/>
          <w:szCs w:val="28"/>
        </w:rPr>
        <w:t xml:space="preserve">«Развитие агропромышленного комплекса </w:t>
      </w:r>
      <w:r>
        <w:rPr>
          <w:rFonts w:ascii="Times New Roman" w:hAnsi="Times New Roman" w:cs="Times New Roman"/>
          <w:sz w:val="28"/>
          <w:szCs w:val="28"/>
        </w:rPr>
        <w:t>на терр</w:t>
      </w:r>
      <w:r>
        <w:rPr>
          <w:rFonts w:ascii="Times New Roman" w:hAnsi="Times New Roman" w:cs="Times New Roman"/>
          <w:sz w:val="28"/>
          <w:szCs w:val="28"/>
        </w:rPr>
        <w:t xml:space="preserve">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Туапсинский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63" w:rsidRDefault="00DB2B43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7. В соответствии с Порядком уполномоченный орган провел публичные консультации по проекту в период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по 2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hAnsi="Times New Roman" w:cs="Times New Roman"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Информация о проводимых публичных консультациях размещена на </w:t>
      </w:r>
      <w:r>
        <w:rPr>
          <w:rFonts w:ascii="Times New Roman" w:hAnsi="Times New Roman" w:cs="Times New Roman"/>
          <w:sz w:val="28"/>
          <w:szCs w:val="28"/>
        </w:rPr>
        <w:t>официальном интернет-портале администрации муниципального образования Туапсинский район (www.tuapseregion.ru) в разделе «Оценка регулирующего воздействия/</w:t>
      </w:r>
      <w:r>
        <w:rPr>
          <w:rFonts w:ascii="Times New Roman" w:hAnsi="Times New Roman" w:cs="Times New Roman"/>
          <w:color w:val="000000"/>
          <w:sz w:val="28"/>
          <w:szCs w:val="28"/>
        </w:rPr>
        <w:t>Уведомление о проведении публичных консультаций по проектам муниципальных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9. В период проведения публичных консультаций замечаний и предложений от участников публичных консультаций по Проекту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сделан вывод об отсутствии в представленном проекте полож</w:t>
      </w:r>
      <w:r>
        <w:rPr>
          <w:rFonts w:ascii="Times New Roman" w:hAnsi="Times New Roman" w:cs="Times New Roman"/>
          <w:sz w:val="28"/>
          <w:szCs w:val="28"/>
        </w:rPr>
        <w:t xml:space="preserve">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 </w:t>
      </w:r>
      <w:bookmarkStart w:id="5" w:name="__DdeLink__4308_2928681744"/>
      <w:r>
        <w:rPr>
          <w:rFonts w:ascii="Times New Roman" w:hAnsi="Times New Roman" w:cs="Times New Roman"/>
          <w:sz w:val="28"/>
          <w:szCs w:val="28"/>
        </w:rPr>
        <w:t>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Туапсинский район</w:t>
      </w:r>
      <w:bookmarkEnd w:id="5"/>
      <w:r>
        <w:rPr>
          <w:rFonts w:ascii="Times New Roman" w:hAnsi="Times New Roman" w:cs="Times New Roman"/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 деятельности, а также необоснованных расходов местного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Туапсинский район), и</w:t>
      </w:r>
      <w:r>
        <w:rPr>
          <w:rFonts w:ascii="Times New Roman" w:hAnsi="Times New Roman" w:cs="Times New Roman"/>
          <w:sz w:val="28"/>
          <w:szCs w:val="28"/>
        </w:rPr>
        <w:t xml:space="preserve"> о возможности его дальнейшего согласования.</w:t>
      </w:r>
    </w:p>
    <w:p w:rsidR="00660B63" w:rsidRDefault="00DB2B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Регулирующий орган в случае несогласия c указанными выводами, вправе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 рабочих дней после получения заключения об оценке представить в уполномоченный орган в письменном виде свои возражения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0B63" w:rsidRDefault="00DB2B4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60B63" w:rsidRDefault="00660B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B63" w:rsidRDefault="00660B6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B63" w:rsidRDefault="00DB2B43">
      <w:pPr>
        <w:suppressAutoHyphens/>
        <w:spacing w:after="0"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н</w:t>
      </w:r>
      <w:r>
        <w:rPr>
          <w:rFonts w:ascii="Times New Roman" w:hAnsi="Times New Roman"/>
          <w:sz w:val="28"/>
          <w:szCs w:val="28"/>
        </w:rPr>
        <w:t>ачальника управления</w:t>
      </w:r>
    </w:p>
    <w:p w:rsidR="00660B63" w:rsidRDefault="00DB2B43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экономического развития администрации</w:t>
      </w:r>
    </w:p>
    <w:p w:rsidR="00660B63" w:rsidRDefault="00DB2B43">
      <w:pPr>
        <w:suppressAutoHyphens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jc w:val="both"/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0B63" w:rsidRDefault="00660B63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0B63">
      <w:pgSz w:w="11906" w:h="16838"/>
      <w:pgMar w:top="810" w:right="630" w:bottom="67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63"/>
    <w:rsid w:val="00660B63"/>
    <w:rsid w:val="00DB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spacing w:after="200" w:line="276" w:lineRule="auto"/>
    </w:pPr>
    <w:rPr>
      <w:sz w:val="22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-">
    <w:name w:val="Интернет-ссылка"/>
    <w:basedOn w:val="a2"/>
    <w:rPr>
      <w:color w:val="0000FF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5">
    <w:name w:val="List"/>
    <w:basedOn w:val="a1"/>
    <w:rPr>
      <w:rFonts w:cs="Droid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pPr>
      <w:widowControl w:val="0"/>
      <w:overflowPunct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480"/>
      <w:jc w:val="both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2351</Words>
  <Characters>13405</Characters>
  <Application>Microsoft Office Word</Application>
  <DocSecurity>4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Фидяева Екатерина</dc:creator>
  <cp:lastModifiedBy>Елена Россиева</cp:lastModifiedBy>
  <cp:revision>2</cp:revision>
  <cp:lastPrinted>2021-10-11T12:18:00Z</cp:lastPrinted>
  <dcterms:created xsi:type="dcterms:W3CDTF">2021-10-11T13:56:00Z</dcterms:created>
  <dcterms:modified xsi:type="dcterms:W3CDTF">2021-10-11T13:56:00Z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